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68C" w:rsidRPr="00BB661C" w:rsidRDefault="005D068C" w:rsidP="005D068C">
      <w:pPr>
        <w:pBdr>
          <w:bottom w:val="single" w:sz="36" w:space="1" w:color="auto"/>
        </w:pBdr>
        <w:rPr>
          <w:rFonts w:ascii="Berlin Sans FB" w:hAnsi="Berlin Sans FB" w:cs="Arial"/>
          <w:spacing w:val="-20"/>
          <w:w w:val="90"/>
          <w:kern w:val="48"/>
          <w:position w:val="6"/>
          <w:sz w:val="48"/>
          <w:szCs w:val="48"/>
        </w:rPr>
      </w:pPr>
      <w:r w:rsidRPr="00BB661C">
        <w:rPr>
          <w:rFonts w:ascii="Berlin Sans FB" w:hAnsi="Berlin Sans FB" w:cs="Arial"/>
          <w:spacing w:val="-20"/>
          <w:w w:val="90"/>
          <w:kern w:val="48"/>
          <w:position w:val="6"/>
          <w:sz w:val="48"/>
          <w:szCs w:val="48"/>
        </w:rPr>
        <w:t>Continuing Review</w:t>
      </w:r>
    </w:p>
    <w:p w:rsidR="005D068C" w:rsidRPr="00BB661C" w:rsidRDefault="005D068C" w:rsidP="005D068C">
      <w:pPr>
        <w:rPr>
          <w:rFonts w:ascii="Calisto MT" w:hAnsi="Calisto MT" w:cs="Arial"/>
          <w:sz w:val="16"/>
          <w:szCs w:val="16"/>
        </w:rPr>
      </w:pPr>
    </w:p>
    <w:p w:rsidR="005D068C" w:rsidRPr="00BB661C" w:rsidRDefault="005D068C" w:rsidP="005D068C">
      <w:pPr>
        <w:rPr>
          <w:rFonts w:ascii="Berlin Sans FB" w:hAnsi="Berlin Sans FB" w:cs="Arial"/>
          <w:spacing w:val="-20"/>
          <w:w w:val="90"/>
          <w:kern w:val="40"/>
          <w:position w:val="6"/>
          <w:sz w:val="40"/>
          <w:szCs w:val="40"/>
        </w:rPr>
      </w:pPr>
      <w:r w:rsidRPr="00BB661C">
        <w:rPr>
          <w:rFonts w:ascii="Berlin Sans FB" w:hAnsi="Berlin Sans FB" w:cs="Arial"/>
          <w:spacing w:val="-20"/>
          <w:w w:val="90"/>
          <w:kern w:val="40"/>
          <w:position w:val="6"/>
          <w:sz w:val="40"/>
          <w:szCs w:val="40"/>
        </w:rPr>
        <w:t>Policy</w:t>
      </w:r>
    </w:p>
    <w:p w:rsidR="005D068C" w:rsidRPr="00BB661C" w:rsidRDefault="005D068C" w:rsidP="005D068C">
      <w:pPr>
        <w:rPr>
          <w:rFonts w:ascii="Century Schoolbook" w:hAnsi="Century Schoolbook" w:cs="Arial"/>
          <w:sz w:val="20"/>
          <w:szCs w:val="20"/>
        </w:rPr>
      </w:pPr>
      <w:r w:rsidRPr="00BB661C">
        <w:rPr>
          <w:rFonts w:ascii="Century Schoolbook" w:hAnsi="Century Schoolbook" w:cs="Arial"/>
          <w:sz w:val="20"/>
          <w:szCs w:val="20"/>
        </w:rPr>
        <w:t>The mandate of the Human Research Ethics Committee is to protect human research participants.  Continuing review of ongoing research is one aspect of this commitment. Continuing review must be substantive and meaningful focussing on whether the balance of risks and benefits for a particular study has changed, whether there are unanticipated findings involving risks to participants and/or others, and whether any new information regarding risks and benefits should be provided to participants. Review must occur within one year of the last approval date, unless the Committee determines that review should occur more frequently.  The Medicines Control Council (</w:t>
      </w:r>
      <w:proofErr w:type="spellStart"/>
      <w:r w:rsidRPr="00BB661C">
        <w:rPr>
          <w:rFonts w:ascii="Century Schoolbook" w:hAnsi="Century Schoolbook" w:cs="Arial"/>
          <w:sz w:val="20"/>
          <w:szCs w:val="20"/>
        </w:rPr>
        <w:t>MCC</w:t>
      </w:r>
      <w:proofErr w:type="spellEnd"/>
      <w:r w:rsidRPr="00BB661C">
        <w:rPr>
          <w:rFonts w:ascii="Century Schoolbook" w:hAnsi="Century Schoolbook" w:cs="Arial"/>
          <w:sz w:val="20"/>
          <w:szCs w:val="20"/>
        </w:rPr>
        <w:t xml:space="preserve">) requires six monthly progress reports for clinical trials under its jurisdiction. Progress reports using the </w:t>
      </w:r>
      <w:proofErr w:type="spellStart"/>
      <w:r w:rsidRPr="00BB661C">
        <w:rPr>
          <w:rFonts w:ascii="Century Schoolbook" w:hAnsi="Century Schoolbook" w:cs="Arial"/>
          <w:sz w:val="20"/>
          <w:szCs w:val="20"/>
        </w:rPr>
        <w:t>MCC</w:t>
      </w:r>
      <w:proofErr w:type="spellEnd"/>
      <w:r w:rsidRPr="00BB661C">
        <w:rPr>
          <w:rFonts w:ascii="Century Schoolbook" w:hAnsi="Century Schoolbook" w:cs="Arial"/>
          <w:sz w:val="20"/>
          <w:szCs w:val="20"/>
        </w:rPr>
        <w:t xml:space="preserve"> format are acceptable to the Human Research Ethics Committee. Continuing review is additional to the review required for all amendments, serious adverse events and unanticipated problems.</w:t>
      </w:r>
    </w:p>
    <w:p w:rsidR="005D068C" w:rsidRPr="00BB661C" w:rsidRDefault="005D068C" w:rsidP="005D068C">
      <w:pPr>
        <w:rPr>
          <w:rFonts w:ascii="Century Schoolbook" w:hAnsi="Century Schoolbook" w:cs="Arial"/>
          <w:sz w:val="8"/>
          <w:szCs w:val="8"/>
        </w:rPr>
      </w:pPr>
    </w:p>
    <w:p w:rsidR="005D068C" w:rsidRPr="00BB661C" w:rsidRDefault="005D068C" w:rsidP="005D068C">
      <w:pPr>
        <w:rPr>
          <w:rFonts w:ascii="Century Schoolbook" w:hAnsi="Century Schoolbook" w:cs="Arial"/>
          <w:sz w:val="20"/>
          <w:szCs w:val="20"/>
        </w:rPr>
      </w:pPr>
      <w:r w:rsidRPr="00BB661C">
        <w:rPr>
          <w:rFonts w:ascii="Century Schoolbook" w:hAnsi="Century Schoolbook" w:cs="Arial"/>
          <w:sz w:val="20"/>
          <w:szCs w:val="20"/>
        </w:rPr>
        <w:t>For protocols initially reviewed by the full committee, the Committee must decide whether ongoing reviews/approvals require full-committee or expedited review. The Chair or a designee will perform expedited continuing reviews. The US Common Rule requirements for continuing review will apply to all federally-funded or supported research.</w:t>
      </w:r>
    </w:p>
    <w:p w:rsidR="005D068C" w:rsidRPr="00BB661C" w:rsidRDefault="005D068C" w:rsidP="005D068C">
      <w:pPr>
        <w:rPr>
          <w:rFonts w:ascii="Calisto MT" w:hAnsi="Calisto MT" w:cs="Arial"/>
          <w:sz w:val="8"/>
          <w:szCs w:val="8"/>
        </w:rPr>
      </w:pPr>
    </w:p>
    <w:p w:rsidR="005D068C" w:rsidRPr="00BB661C" w:rsidRDefault="005D068C" w:rsidP="005D068C">
      <w:pPr>
        <w:rPr>
          <w:rFonts w:ascii="Berlin Sans FB" w:hAnsi="Berlin Sans FB" w:cs="Arial"/>
          <w:spacing w:val="-20"/>
          <w:w w:val="90"/>
          <w:kern w:val="40"/>
          <w:position w:val="6"/>
          <w:sz w:val="40"/>
          <w:szCs w:val="40"/>
        </w:rPr>
      </w:pPr>
      <w:r w:rsidRPr="00BB661C">
        <w:rPr>
          <w:rFonts w:ascii="Berlin Sans FB" w:hAnsi="Berlin Sans FB" w:cs="Arial"/>
          <w:spacing w:val="-20"/>
          <w:w w:val="90"/>
          <w:kern w:val="40"/>
          <w:position w:val="6"/>
          <w:sz w:val="40"/>
          <w:szCs w:val="40"/>
        </w:rPr>
        <w:t>Purpose</w:t>
      </w:r>
    </w:p>
    <w:p w:rsidR="005D068C" w:rsidRPr="00BB661C" w:rsidRDefault="005D068C" w:rsidP="005D068C">
      <w:pPr>
        <w:rPr>
          <w:rFonts w:ascii="Century Schoolbook" w:hAnsi="Century Schoolbook" w:cs="Arial"/>
          <w:sz w:val="20"/>
          <w:szCs w:val="20"/>
        </w:rPr>
      </w:pPr>
      <w:r w:rsidRPr="00BB661C">
        <w:rPr>
          <w:rFonts w:ascii="Century Schoolbook" w:hAnsi="Century Schoolbook" w:cs="Arial"/>
          <w:sz w:val="20"/>
          <w:szCs w:val="20"/>
        </w:rPr>
        <w:t>The purpose of this policy is to provide guidance on the continuing review process. The policy also clarifies the consequences for an investigator failing to submit an annual progress report.</w:t>
      </w:r>
    </w:p>
    <w:p w:rsidR="005D068C" w:rsidRPr="00BB661C" w:rsidRDefault="005D068C" w:rsidP="005D068C">
      <w:pPr>
        <w:tabs>
          <w:tab w:val="num" w:pos="720"/>
        </w:tabs>
        <w:rPr>
          <w:rFonts w:ascii="Century Schoolbook" w:hAnsi="Century Schoolbook" w:cs="Arial"/>
          <w:sz w:val="8"/>
          <w:szCs w:val="8"/>
        </w:rPr>
      </w:pPr>
    </w:p>
    <w:p w:rsidR="005D068C" w:rsidRPr="00BB661C" w:rsidRDefault="005D068C" w:rsidP="005D068C">
      <w:pPr>
        <w:tabs>
          <w:tab w:val="num" w:pos="720"/>
        </w:tabs>
        <w:rPr>
          <w:rFonts w:ascii="Berlin Sans FB" w:hAnsi="Berlin Sans FB" w:cs="Arial"/>
          <w:spacing w:val="-20"/>
          <w:w w:val="90"/>
          <w:kern w:val="40"/>
          <w:position w:val="6"/>
          <w:sz w:val="40"/>
          <w:szCs w:val="40"/>
        </w:rPr>
      </w:pPr>
      <w:r w:rsidRPr="00BB661C">
        <w:rPr>
          <w:rFonts w:ascii="Berlin Sans FB" w:hAnsi="Berlin Sans FB" w:cs="Arial"/>
          <w:spacing w:val="-20"/>
          <w:w w:val="90"/>
          <w:kern w:val="40"/>
          <w:position w:val="6"/>
          <w:sz w:val="40"/>
          <w:szCs w:val="40"/>
        </w:rPr>
        <w:t>Procedures</w:t>
      </w:r>
    </w:p>
    <w:p w:rsidR="005D068C" w:rsidRPr="00BB661C" w:rsidRDefault="005D068C" w:rsidP="005D068C">
      <w:pPr>
        <w:tabs>
          <w:tab w:val="num" w:pos="720"/>
        </w:tabs>
        <w:rPr>
          <w:rFonts w:ascii="Berlin Sans FB" w:hAnsi="Berlin Sans FB" w:cs="Arial"/>
          <w:spacing w:val="-20"/>
          <w:w w:val="90"/>
          <w:kern w:val="32"/>
          <w:position w:val="6"/>
          <w:sz w:val="32"/>
          <w:szCs w:val="32"/>
        </w:rPr>
      </w:pPr>
      <w:r w:rsidRPr="00BB661C">
        <w:rPr>
          <w:rFonts w:ascii="Berlin Sans FB" w:hAnsi="Berlin Sans FB" w:cs="Arial"/>
          <w:spacing w:val="-20"/>
          <w:w w:val="90"/>
          <w:kern w:val="32"/>
          <w:position w:val="6"/>
          <w:sz w:val="32"/>
          <w:szCs w:val="32"/>
        </w:rPr>
        <w:t>Department of Health Guidelines</w:t>
      </w:r>
    </w:p>
    <w:p w:rsidR="005D068C" w:rsidRPr="00BB661C" w:rsidRDefault="005D068C" w:rsidP="005D068C">
      <w:pPr>
        <w:tabs>
          <w:tab w:val="num" w:pos="720"/>
        </w:tabs>
        <w:rPr>
          <w:rFonts w:ascii="Century Schoolbook" w:hAnsi="Century Schoolbook" w:cs="Arial"/>
          <w:sz w:val="20"/>
          <w:szCs w:val="20"/>
        </w:rPr>
      </w:pPr>
      <w:r w:rsidRPr="00BB661C">
        <w:rPr>
          <w:rFonts w:ascii="Century Schoolbook" w:hAnsi="Century Schoolbook" w:cs="Arial"/>
          <w:sz w:val="20"/>
          <w:szCs w:val="20"/>
        </w:rPr>
        <w:t>According to the Department of Health’s Research Ethics Guidelines (S. 4.7, 2004), the Human Research Ethics Committee must monitor the ongoing conduct of approved research. The frequency and type of monitoring should reflect the degree of risk to participants. The Committee must request, at least annually, reports from principal investigators on the following issues:</w:t>
      </w:r>
    </w:p>
    <w:p w:rsidR="005D068C" w:rsidRPr="008D2ACD" w:rsidRDefault="005D068C" w:rsidP="005D068C">
      <w:pPr>
        <w:tabs>
          <w:tab w:val="num" w:pos="720"/>
        </w:tabs>
        <w:rPr>
          <w:rFonts w:ascii="Calisto MT" w:hAnsi="Calisto MT" w:cs="Arial"/>
          <w:sz w:val="8"/>
        </w:rPr>
      </w:pPr>
    </w:p>
    <w:p w:rsidR="005D068C" w:rsidRPr="00BB661C" w:rsidRDefault="005D068C" w:rsidP="005D068C">
      <w:pPr>
        <w:numPr>
          <w:ilvl w:val="0"/>
          <w:numId w:val="31"/>
        </w:numPr>
        <w:rPr>
          <w:rFonts w:ascii="Century Schoolbook" w:hAnsi="Century Schoolbook" w:cs="Arial"/>
          <w:sz w:val="20"/>
          <w:szCs w:val="20"/>
        </w:rPr>
      </w:pPr>
      <w:r w:rsidRPr="00BB661C">
        <w:rPr>
          <w:rFonts w:ascii="Century Schoolbook" w:hAnsi="Century Schoolbook" w:cs="Arial"/>
          <w:sz w:val="20"/>
          <w:szCs w:val="20"/>
        </w:rPr>
        <w:t>Progress to date, or outcome of completed research.</w:t>
      </w:r>
    </w:p>
    <w:p w:rsidR="005D068C" w:rsidRPr="00BB661C" w:rsidRDefault="005D068C" w:rsidP="005D068C">
      <w:pPr>
        <w:numPr>
          <w:ilvl w:val="0"/>
          <w:numId w:val="31"/>
        </w:numPr>
        <w:rPr>
          <w:rFonts w:ascii="Century Schoolbook" w:hAnsi="Century Schoolbook" w:cs="Arial"/>
          <w:sz w:val="20"/>
          <w:szCs w:val="20"/>
        </w:rPr>
      </w:pPr>
      <w:r w:rsidRPr="00BB661C">
        <w:rPr>
          <w:rFonts w:ascii="Century Schoolbook" w:hAnsi="Century Schoolbook" w:cs="Arial"/>
          <w:sz w:val="20"/>
          <w:szCs w:val="20"/>
        </w:rPr>
        <w:t>Information concerning maintenance and security of records.</w:t>
      </w:r>
    </w:p>
    <w:p w:rsidR="005D068C" w:rsidRPr="00BB661C" w:rsidRDefault="005D068C" w:rsidP="005D068C">
      <w:pPr>
        <w:numPr>
          <w:ilvl w:val="0"/>
          <w:numId w:val="31"/>
        </w:numPr>
        <w:rPr>
          <w:rFonts w:ascii="Century Schoolbook" w:hAnsi="Century Schoolbook" w:cs="Arial"/>
          <w:sz w:val="20"/>
          <w:szCs w:val="20"/>
        </w:rPr>
      </w:pPr>
      <w:r w:rsidRPr="00BB661C">
        <w:rPr>
          <w:rFonts w:ascii="Century Schoolbook" w:hAnsi="Century Schoolbook" w:cs="Arial"/>
          <w:sz w:val="20"/>
          <w:szCs w:val="20"/>
        </w:rPr>
        <w:t>Evidence of compliance with the approved protocol.</w:t>
      </w:r>
    </w:p>
    <w:p w:rsidR="005D068C" w:rsidRPr="00BB661C" w:rsidRDefault="005D068C" w:rsidP="005D068C">
      <w:pPr>
        <w:numPr>
          <w:ilvl w:val="0"/>
          <w:numId w:val="31"/>
        </w:numPr>
        <w:rPr>
          <w:rFonts w:ascii="Century Schoolbook" w:hAnsi="Century Schoolbook" w:cs="Arial"/>
          <w:sz w:val="20"/>
          <w:szCs w:val="20"/>
        </w:rPr>
      </w:pPr>
      <w:r w:rsidRPr="00BB661C">
        <w:rPr>
          <w:rFonts w:ascii="Century Schoolbook" w:hAnsi="Century Schoolbook" w:cs="Arial"/>
          <w:sz w:val="20"/>
          <w:szCs w:val="20"/>
        </w:rPr>
        <w:t>Evidence of compliance with any conditions of approval.</w:t>
      </w:r>
    </w:p>
    <w:p w:rsidR="005D068C" w:rsidRPr="008D2ACD" w:rsidRDefault="005D068C" w:rsidP="005D068C">
      <w:pPr>
        <w:rPr>
          <w:rFonts w:ascii="Calisto MT" w:hAnsi="Calisto MT" w:cs="Arial"/>
          <w:sz w:val="8"/>
        </w:rPr>
      </w:pPr>
    </w:p>
    <w:p w:rsidR="005D068C" w:rsidRPr="00BB661C" w:rsidRDefault="005D068C" w:rsidP="005D068C">
      <w:pPr>
        <w:tabs>
          <w:tab w:val="num" w:pos="720"/>
        </w:tabs>
        <w:rPr>
          <w:rFonts w:ascii="Century Schoolbook" w:hAnsi="Century Schoolbook" w:cs="Arial"/>
          <w:sz w:val="20"/>
          <w:szCs w:val="20"/>
        </w:rPr>
      </w:pPr>
      <w:r w:rsidRPr="00BB661C">
        <w:rPr>
          <w:rFonts w:ascii="Century Schoolbook" w:hAnsi="Century Schoolbook" w:cs="Arial"/>
          <w:sz w:val="20"/>
          <w:szCs w:val="20"/>
        </w:rPr>
        <w:t>Further, a research ethics committee may conduct random inspections of research sites, data and signed consent forms and records of interventions (with prior consent and knowledge of participants). As a condition of approval of each protocol, researchers must report:</w:t>
      </w:r>
    </w:p>
    <w:p w:rsidR="005D068C" w:rsidRPr="008D2ACD" w:rsidRDefault="005D068C" w:rsidP="005D068C">
      <w:pPr>
        <w:tabs>
          <w:tab w:val="num" w:pos="720"/>
        </w:tabs>
        <w:rPr>
          <w:rFonts w:ascii="Calisto MT" w:hAnsi="Calisto MT" w:cs="Arial"/>
          <w:sz w:val="8"/>
        </w:rPr>
      </w:pPr>
    </w:p>
    <w:p w:rsidR="005D068C" w:rsidRPr="003C642B" w:rsidRDefault="005D068C" w:rsidP="005D068C">
      <w:pPr>
        <w:numPr>
          <w:ilvl w:val="0"/>
          <w:numId w:val="32"/>
        </w:numPr>
        <w:rPr>
          <w:rFonts w:ascii="Century Schoolbook" w:hAnsi="Century Schoolbook" w:cs="Arial"/>
          <w:sz w:val="20"/>
          <w:szCs w:val="20"/>
        </w:rPr>
      </w:pPr>
      <w:r w:rsidRPr="003C642B">
        <w:rPr>
          <w:rFonts w:ascii="Century Schoolbook" w:hAnsi="Century Schoolbook" w:cs="Arial"/>
          <w:sz w:val="20"/>
          <w:szCs w:val="20"/>
        </w:rPr>
        <w:t>Serious or unexpected adverse effects on participants.</w:t>
      </w:r>
    </w:p>
    <w:p w:rsidR="005D068C" w:rsidRPr="003C642B" w:rsidRDefault="005D068C" w:rsidP="005D068C">
      <w:pPr>
        <w:numPr>
          <w:ilvl w:val="0"/>
          <w:numId w:val="32"/>
        </w:numPr>
        <w:rPr>
          <w:rFonts w:ascii="Century Schoolbook" w:hAnsi="Century Schoolbook" w:cs="Arial"/>
          <w:sz w:val="20"/>
          <w:szCs w:val="20"/>
        </w:rPr>
      </w:pPr>
      <w:r w:rsidRPr="003C642B">
        <w:rPr>
          <w:rFonts w:ascii="Century Schoolbook" w:hAnsi="Century Schoolbook" w:cs="Arial"/>
          <w:sz w:val="20"/>
          <w:szCs w:val="20"/>
        </w:rPr>
        <w:t>Proposed changes in the protocol.</w:t>
      </w:r>
    </w:p>
    <w:p w:rsidR="005D068C" w:rsidRPr="003C642B" w:rsidRDefault="005D068C" w:rsidP="005D068C">
      <w:pPr>
        <w:numPr>
          <w:ilvl w:val="0"/>
          <w:numId w:val="32"/>
        </w:numPr>
        <w:rPr>
          <w:rFonts w:ascii="Century Schoolbook" w:hAnsi="Century Schoolbook" w:cs="Arial"/>
          <w:sz w:val="20"/>
          <w:szCs w:val="20"/>
        </w:rPr>
      </w:pPr>
      <w:r w:rsidRPr="003C642B">
        <w:rPr>
          <w:rFonts w:ascii="Century Schoolbook" w:hAnsi="Century Schoolbook" w:cs="Arial"/>
          <w:sz w:val="20"/>
          <w:szCs w:val="20"/>
        </w:rPr>
        <w:t>Unforeseen events that might affect continued ethical acceptability of the study.</w:t>
      </w:r>
    </w:p>
    <w:p w:rsidR="005D068C" w:rsidRPr="003C642B" w:rsidRDefault="005D068C" w:rsidP="005D068C">
      <w:pPr>
        <w:numPr>
          <w:ilvl w:val="0"/>
          <w:numId w:val="32"/>
        </w:numPr>
        <w:rPr>
          <w:rFonts w:ascii="Century Schoolbook" w:hAnsi="Century Schoolbook" w:cs="Arial"/>
          <w:sz w:val="20"/>
          <w:szCs w:val="20"/>
        </w:rPr>
      </w:pPr>
      <w:r w:rsidRPr="003C642B">
        <w:rPr>
          <w:rFonts w:ascii="Century Schoolbook" w:hAnsi="Century Schoolbook" w:cs="Arial"/>
          <w:sz w:val="20"/>
          <w:szCs w:val="20"/>
        </w:rPr>
        <w:t>If a study is stopped before the expected date of completion and provide reasons.</w:t>
      </w:r>
    </w:p>
    <w:p w:rsidR="005D068C" w:rsidRPr="003C642B" w:rsidRDefault="005D068C" w:rsidP="005D068C">
      <w:pPr>
        <w:tabs>
          <w:tab w:val="num" w:pos="720"/>
        </w:tabs>
        <w:rPr>
          <w:rFonts w:ascii="Calisto MT" w:hAnsi="Calisto MT" w:cs="Arial"/>
          <w:b/>
          <w:sz w:val="8"/>
          <w:szCs w:val="8"/>
        </w:rPr>
      </w:pPr>
    </w:p>
    <w:p w:rsidR="005D068C" w:rsidRPr="003C642B" w:rsidRDefault="005D068C" w:rsidP="005D068C">
      <w:pPr>
        <w:tabs>
          <w:tab w:val="num" w:pos="720"/>
        </w:tabs>
        <w:rPr>
          <w:rFonts w:ascii="Berlin Sans FB" w:hAnsi="Berlin Sans FB" w:cs="Arial"/>
          <w:w w:val="90"/>
          <w:kern w:val="32"/>
          <w:position w:val="6"/>
          <w:sz w:val="32"/>
          <w:szCs w:val="32"/>
        </w:rPr>
      </w:pPr>
      <w:r w:rsidRPr="003C642B">
        <w:rPr>
          <w:rFonts w:ascii="Berlin Sans FB" w:hAnsi="Berlin Sans FB" w:cs="Arial"/>
          <w:w w:val="90"/>
          <w:kern w:val="32"/>
          <w:position w:val="6"/>
          <w:sz w:val="32"/>
          <w:szCs w:val="32"/>
        </w:rPr>
        <w:t>Continuing Review in the Faculty of Health Sciences</w:t>
      </w:r>
    </w:p>
    <w:p w:rsidR="005D068C" w:rsidRPr="003C642B" w:rsidRDefault="005D068C" w:rsidP="005D068C">
      <w:pPr>
        <w:tabs>
          <w:tab w:val="num" w:pos="720"/>
        </w:tabs>
        <w:rPr>
          <w:rFonts w:ascii="Century Schoolbook" w:hAnsi="Century Schoolbook" w:cs="Arial"/>
          <w:sz w:val="20"/>
          <w:szCs w:val="20"/>
        </w:rPr>
      </w:pPr>
      <w:r w:rsidRPr="003C642B">
        <w:rPr>
          <w:rFonts w:ascii="Century Schoolbook" w:hAnsi="Century Schoolbook" w:cs="Arial"/>
          <w:sz w:val="20"/>
          <w:szCs w:val="20"/>
        </w:rPr>
        <w:t>Continuing review is a broad term that covers a range of possible procedures depending on the level of risk inherent in a study. For example, depending on the level of risk, the Human Research Ethics Committee may request:</w:t>
      </w:r>
    </w:p>
    <w:p w:rsidR="005D068C" w:rsidRPr="003C642B" w:rsidRDefault="005D068C" w:rsidP="005D068C">
      <w:pPr>
        <w:tabs>
          <w:tab w:val="num" w:pos="720"/>
        </w:tabs>
        <w:rPr>
          <w:rFonts w:ascii="Century Schoolbook" w:hAnsi="Century Schoolbook" w:cs="Arial"/>
          <w:sz w:val="20"/>
          <w:szCs w:val="20"/>
        </w:rPr>
      </w:pPr>
    </w:p>
    <w:p w:rsidR="005D068C" w:rsidRPr="003C642B" w:rsidRDefault="005D068C" w:rsidP="005D068C">
      <w:pPr>
        <w:numPr>
          <w:ilvl w:val="0"/>
          <w:numId w:val="33"/>
        </w:numPr>
        <w:rPr>
          <w:rFonts w:ascii="Century Schoolbook" w:hAnsi="Century Schoolbook" w:cs="Arial"/>
          <w:sz w:val="20"/>
          <w:szCs w:val="20"/>
        </w:rPr>
      </w:pPr>
      <w:r w:rsidRPr="003C642B">
        <w:rPr>
          <w:rFonts w:ascii="Century Schoolbook" w:hAnsi="Century Schoolbook" w:cs="Arial"/>
          <w:sz w:val="20"/>
          <w:szCs w:val="20"/>
        </w:rPr>
        <w:t>More frequent, than annual, continuing review.</w:t>
      </w:r>
    </w:p>
    <w:p w:rsidR="005D068C" w:rsidRPr="003C642B" w:rsidRDefault="005D068C" w:rsidP="005D068C">
      <w:pPr>
        <w:numPr>
          <w:ilvl w:val="0"/>
          <w:numId w:val="33"/>
        </w:numPr>
        <w:rPr>
          <w:rFonts w:ascii="Century Schoolbook" w:hAnsi="Century Schoolbook" w:cs="Arial"/>
          <w:sz w:val="20"/>
          <w:szCs w:val="20"/>
        </w:rPr>
      </w:pPr>
      <w:r w:rsidRPr="003C642B">
        <w:rPr>
          <w:rFonts w:ascii="Century Schoolbook" w:hAnsi="Century Schoolbook" w:cs="Arial"/>
          <w:sz w:val="20"/>
          <w:szCs w:val="20"/>
        </w:rPr>
        <w:t>Sequential continuing review, for instance after the enrolment of a few participants.</w:t>
      </w:r>
    </w:p>
    <w:p w:rsidR="005D068C" w:rsidRPr="003C642B" w:rsidRDefault="005D068C" w:rsidP="005D068C">
      <w:pPr>
        <w:numPr>
          <w:ilvl w:val="0"/>
          <w:numId w:val="33"/>
        </w:numPr>
        <w:rPr>
          <w:rFonts w:ascii="Century Schoolbook" w:hAnsi="Century Schoolbook" w:cs="Arial"/>
          <w:sz w:val="20"/>
          <w:szCs w:val="20"/>
        </w:rPr>
      </w:pPr>
      <w:r w:rsidRPr="003C642B">
        <w:rPr>
          <w:rFonts w:ascii="Century Schoolbook" w:hAnsi="Century Schoolbook" w:cs="Arial"/>
          <w:sz w:val="20"/>
          <w:szCs w:val="20"/>
        </w:rPr>
        <w:t>Independent monitoring of the consent process and rigorous evaluation of participants’ understanding of the protocol and of being a research subject.</w:t>
      </w:r>
    </w:p>
    <w:p w:rsidR="005D068C" w:rsidRPr="003C642B" w:rsidRDefault="005D068C" w:rsidP="005D068C">
      <w:pPr>
        <w:tabs>
          <w:tab w:val="num" w:pos="720"/>
        </w:tabs>
        <w:rPr>
          <w:rFonts w:ascii="Century Schoolbook" w:hAnsi="Century Schoolbook" w:cs="Arial"/>
          <w:sz w:val="8"/>
          <w:szCs w:val="8"/>
        </w:rPr>
      </w:pPr>
    </w:p>
    <w:p w:rsidR="005D068C" w:rsidRPr="003C642B" w:rsidRDefault="005D068C" w:rsidP="005D068C">
      <w:pPr>
        <w:tabs>
          <w:tab w:val="num" w:pos="720"/>
        </w:tabs>
        <w:rPr>
          <w:rFonts w:ascii="Century Schoolbook" w:hAnsi="Century Schoolbook" w:cs="Arial"/>
          <w:sz w:val="20"/>
          <w:szCs w:val="20"/>
        </w:rPr>
      </w:pPr>
      <w:r w:rsidRPr="003C642B">
        <w:rPr>
          <w:rFonts w:ascii="Century Schoolbook" w:hAnsi="Century Schoolbook" w:cs="Arial"/>
          <w:sz w:val="20"/>
          <w:szCs w:val="20"/>
        </w:rPr>
        <w:t xml:space="preserve">The Human Research Ethics Committee must determine at the time of the initial and at the time of each continuing review whether it is necessary for future continuing reports to be submitted </w:t>
      </w:r>
      <w:r w:rsidRPr="003C642B">
        <w:rPr>
          <w:rFonts w:ascii="Century Schoolbook" w:hAnsi="Century Schoolbook" w:cs="Arial"/>
          <w:sz w:val="20"/>
          <w:szCs w:val="20"/>
        </w:rPr>
        <w:lastRenderedPageBreak/>
        <w:t>more frequently. Criteria which may be used to determine whether review should occur more frequently include:</w:t>
      </w:r>
    </w:p>
    <w:p w:rsidR="005D068C" w:rsidRPr="003C642B" w:rsidRDefault="005D068C" w:rsidP="005D068C">
      <w:pPr>
        <w:tabs>
          <w:tab w:val="num" w:pos="720"/>
        </w:tabs>
        <w:rPr>
          <w:rFonts w:ascii="Calisto MT" w:hAnsi="Calisto MT" w:cs="Arial"/>
          <w:sz w:val="2"/>
          <w:szCs w:val="2"/>
        </w:rPr>
      </w:pPr>
    </w:p>
    <w:p w:rsidR="005D068C" w:rsidRPr="003C642B" w:rsidRDefault="005D068C" w:rsidP="005D068C">
      <w:pPr>
        <w:numPr>
          <w:ilvl w:val="0"/>
          <w:numId w:val="34"/>
        </w:numPr>
        <w:rPr>
          <w:rFonts w:ascii="Century Schoolbook" w:hAnsi="Century Schoolbook" w:cs="Arial"/>
          <w:sz w:val="20"/>
          <w:szCs w:val="20"/>
        </w:rPr>
      </w:pPr>
      <w:r w:rsidRPr="003C642B">
        <w:rPr>
          <w:rFonts w:ascii="Century Schoolbook" w:hAnsi="Century Schoolbook" w:cs="Arial"/>
          <w:sz w:val="20"/>
          <w:szCs w:val="20"/>
        </w:rPr>
        <w:t>Magnitude of risks.</w:t>
      </w:r>
    </w:p>
    <w:p w:rsidR="005D068C" w:rsidRPr="003C642B" w:rsidRDefault="005D068C" w:rsidP="005D068C">
      <w:pPr>
        <w:numPr>
          <w:ilvl w:val="0"/>
          <w:numId w:val="34"/>
        </w:numPr>
        <w:rPr>
          <w:rFonts w:ascii="Century Schoolbook" w:hAnsi="Century Schoolbook" w:cs="Arial"/>
          <w:sz w:val="20"/>
          <w:szCs w:val="20"/>
        </w:rPr>
      </w:pPr>
      <w:r w:rsidRPr="003C642B">
        <w:rPr>
          <w:rFonts w:ascii="Century Schoolbook" w:hAnsi="Century Schoolbook" w:cs="Arial"/>
          <w:sz w:val="20"/>
          <w:szCs w:val="20"/>
        </w:rPr>
        <w:t>Participants’ vulnerability.</w:t>
      </w:r>
    </w:p>
    <w:p w:rsidR="005D068C" w:rsidRPr="003C642B" w:rsidRDefault="005D068C" w:rsidP="005D068C">
      <w:pPr>
        <w:numPr>
          <w:ilvl w:val="0"/>
          <w:numId w:val="34"/>
        </w:numPr>
        <w:rPr>
          <w:rFonts w:ascii="Century Schoolbook" w:hAnsi="Century Schoolbook" w:cs="Arial"/>
          <w:sz w:val="20"/>
          <w:szCs w:val="20"/>
        </w:rPr>
      </w:pPr>
      <w:r w:rsidRPr="003C642B">
        <w:rPr>
          <w:rFonts w:ascii="Century Schoolbook" w:hAnsi="Century Schoolbook" w:cs="Arial"/>
          <w:sz w:val="20"/>
          <w:szCs w:val="20"/>
        </w:rPr>
        <w:t>Magnitude of adverse events which may be irreversible, life threatening or disabling (the more so when there are no off-setting direct benefits to participants).</w:t>
      </w:r>
    </w:p>
    <w:p w:rsidR="005D068C" w:rsidRPr="003C642B" w:rsidRDefault="005D068C" w:rsidP="005D068C">
      <w:pPr>
        <w:numPr>
          <w:ilvl w:val="0"/>
          <w:numId w:val="34"/>
        </w:numPr>
        <w:rPr>
          <w:rFonts w:ascii="Century Schoolbook" w:hAnsi="Century Schoolbook" w:cs="Arial"/>
          <w:sz w:val="20"/>
          <w:szCs w:val="20"/>
        </w:rPr>
      </w:pPr>
      <w:r w:rsidRPr="003C642B">
        <w:rPr>
          <w:rFonts w:ascii="Century Schoolbook" w:hAnsi="Century Schoolbook" w:cs="Arial"/>
          <w:sz w:val="20"/>
          <w:szCs w:val="20"/>
        </w:rPr>
        <w:t>The type and magnitude of a risk is unknown, for instance in proof of concept research involving initial attempts to find out if a laboratory discovery or hypothesis with potential clinical applicability works as expected when used in humans. The risks cannot be fully described until they are tested in humans and may be irreversible.</w:t>
      </w:r>
    </w:p>
    <w:p w:rsidR="005D068C" w:rsidRPr="003C642B" w:rsidRDefault="005D068C" w:rsidP="005D068C">
      <w:pPr>
        <w:numPr>
          <w:ilvl w:val="0"/>
          <w:numId w:val="34"/>
        </w:numPr>
        <w:rPr>
          <w:rFonts w:ascii="Century Schoolbook" w:hAnsi="Century Schoolbook" w:cs="Arial"/>
          <w:sz w:val="20"/>
          <w:szCs w:val="20"/>
        </w:rPr>
      </w:pPr>
      <w:r w:rsidRPr="003C642B">
        <w:rPr>
          <w:rFonts w:ascii="Century Schoolbook" w:hAnsi="Century Schoolbook" w:cs="Arial"/>
          <w:sz w:val="20"/>
          <w:szCs w:val="20"/>
        </w:rPr>
        <w:t>Previous experience indicating that the frequency of adverse events is a potential concern.</w:t>
      </w:r>
    </w:p>
    <w:p w:rsidR="005D068C" w:rsidRPr="003C642B" w:rsidRDefault="005D068C" w:rsidP="005D068C">
      <w:pPr>
        <w:numPr>
          <w:ilvl w:val="0"/>
          <w:numId w:val="34"/>
        </w:numPr>
        <w:rPr>
          <w:rFonts w:ascii="Century Schoolbook" w:hAnsi="Century Schoolbook" w:cs="Arial"/>
          <w:sz w:val="20"/>
          <w:szCs w:val="20"/>
        </w:rPr>
      </w:pPr>
      <w:r w:rsidRPr="003C642B">
        <w:rPr>
          <w:rFonts w:ascii="Century Schoolbook" w:hAnsi="Century Schoolbook" w:cs="Arial"/>
          <w:sz w:val="20"/>
          <w:szCs w:val="20"/>
        </w:rPr>
        <w:t>There have been non-compliance concerns which warrant more frequent monitoring.</w:t>
      </w:r>
    </w:p>
    <w:p w:rsidR="005D068C" w:rsidRPr="003C642B" w:rsidRDefault="005D068C" w:rsidP="005D068C">
      <w:pPr>
        <w:numPr>
          <w:ilvl w:val="0"/>
          <w:numId w:val="34"/>
        </w:numPr>
        <w:rPr>
          <w:rFonts w:ascii="Century Schoolbook" w:hAnsi="Century Schoolbook" w:cs="Arial"/>
          <w:sz w:val="20"/>
          <w:szCs w:val="20"/>
        </w:rPr>
      </w:pPr>
      <w:r w:rsidRPr="003C642B">
        <w:rPr>
          <w:rFonts w:ascii="Century Schoolbook" w:hAnsi="Century Schoolbook" w:cs="Arial"/>
          <w:sz w:val="20"/>
          <w:szCs w:val="20"/>
        </w:rPr>
        <w:t>A protocol raises ethical concerns about research design or implementation for which there is no consensus or where available ethical or regulatory guidance is ambiguous or contradictory, for example using placebos in studies when there is a known effective treatment for a condition such as hypertension.</w:t>
      </w:r>
    </w:p>
    <w:p w:rsidR="005D068C" w:rsidRPr="003C642B" w:rsidRDefault="005D068C" w:rsidP="005D068C">
      <w:pPr>
        <w:tabs>
          <w:tab w:val="num" w:pos="720"/>
        </w:tabs>
        <w:rPr>
          <w:rFonts w:ascii="Century Schoolbook" w:hAnsi="Century Schoolbook" w:cs="Arial"/>
          <w:sz w:val="8"/>
          <w:szCs w:val="8"/>
        </w:rPr>
      </w:pPr>
    </w:p>
    <w:p w:rsidR="005D068C" w:rsidRPr="003C642B" w:rsidRDefault="005D068C" w:rsidP="005D068C">
      <w:pPr>
        <w:tabs>
          <w:tab w:val="num" w:pos="720"/>
        </w:tabs>
        <w:rPr>
          <w:rFonts w:ascii="Berlin Sans FB" w:hAnsi="Berlin Sans FB" w:cs="Arial"/>
          <w:w w:val="90"/>
          <w:kern w:val="32"/>
          <w:position w:val="6"/>
          <w:sz w:val="32"/>
          <w:szCs w:val="32"/>
        </w:rPr>
      </w:pPr>
      <w:r w:rsidRPr="003C642B">
        <w:rPr>
          <w:rFonts w:ascii="Berlin Sans FB" w:hAnsi="Berlin Sans FB" w:cs="Arial"/>
          <w:w w:val="90"/>
          <w:kern w:val="32"/>
          <w:position w:val="6"/>
          <w:sz w:val="32"/>
          <w:szCs w:val="32"/>
        </w:rPr>
        <w:t>Documentation for Continuing Review</w:t>
      </w:r>
    </w:p>
    <w:p w:rsidR="005D068C" w:rsidRPr="003C642B" w:rsidRDefault="005D068C" w:rsidP="005D068C">
      <w:pPr>
        <w:tabs>
          <w:tab w:val="num" w:pos="720"/>
        </w:tabs>
        <w:rPr>
          <w:rFonts w:ascii="Century Schoolbook" w:hAnsi="Century Schoolbook" w:cs="Arial"/>
          <w:sz w:val="20"/>
          <w:szCs w:val="20"/>
        </w:rPr>
      </w:pPr>
      <w:r w:rsidRPr="003C642B">
        <w:rPr>
          <w:rFonts w:ascii="Century Schoolbook" w:hAnsi="Century Schoolbook" w:cs="Arial"/>
          <w:sz w:val="20"/>
          <w:szCs w:val="20"/>
        </w:rPr>
        <w:t>The principal investigator is responsible for timely submission of a protocol summary and status report on the progress of the research which includes:</w:t>
      </w:r>
    </w:p>
    <w:p w:rsidR="005D068C" w:rsidRPr="003C642B" w:rsidRDefault="005D068C" w:rsidP="005D068C">
      <w:pPr>
        <w:tabs>
          <w:tab w:val="num" w:pos="720"/>
        </w:tabs>
        <w:rPr>
          <w:rFonts w:ascii="Calisto MT" w:hAnsi="Calisto MT" w:cs="Arial"/>
          <w:sz w:val="2"/>
          <w:szCs w:val="2"/>
        </w:rPr>
      </w:pPr>
    </w:p>
    <w:p w:rsidR="005D068C" w:rsidRPr="003C642B" w:rsidRDefault="005D068C" w:rsidP="005D068C">
      <w:pPr>
        <w:numPr>
          <w:ilvl w:val="0"/>
          <w:numId w:val="37"/>
        </w:numPr>
        <w:rPr>
          <w:rFonts w:ascii="Century Schoolbook" w:hAnsi="Century Schoolbook" w:cs="Arial"/>
          <w:sz w:val="20"/>
          <w:szCs w:val="20"/>
        </w:rPr>
      </w:pPr>
      <w:r w:rsidRPr="003C642B">
        <w:rPr>
          <w:rFonts w:ascii="Century Schoolbook" w:hAnsi="Century Schoolbook" w:cs="Arial"/>
          <w:sz w:val="20"/>
          <w:szCs w:val="20"/>
        </w:rPr>
        <w:t>Number of participants enrolled.</w:t>
      </w:r>
    </w:p>
    <w:p w:rsidR="005D068C" w:rsidRPr="003C642B" w:rsidRDefault="005D068C" w:rsidP="005D068C">
      <w:pPr>
        <w:numPr>
          <w:ilvl w:val="0"/>
          <w:numId w:val="37"/>
        </w:numPr>
        <w:rPr>
          <w:rFonts w:ascii="Century Schoolbook" w:hAnsi="Century Schoolbook" w:cs="Arial"/>
          <w:sz w:val="20"/>
          <w:szCs w:val="20"/>
        </w:rPr>
      </w:pPr>
      <w:r w:rsidRPr="003C642B">
        <w:rPr>
          <w:rFonts w:ascii="Century Schoolbook" w:hAnsi="Century Schoolbook" w:cs="Arial"/>
          <w:sz w:val="20"/>
          <w:szCs w:val="20"/>
        </w:rPr>
        <w:t>Number of participants who withdrew.</w:t>
      </w:r>
    </w:p>
    <w:p w:rsidR="005D068C" w:rsidRPr="003C642B" w:rsidRDefault="005D068C" w:rsidP="005D068C">
      <w:pPr>
        <w:numPr>
          <w:ilvl w:val="0"/>
          <w:numId w:val="37"/>
        </w:numPr>
        <w:rPr>
          <w:rFonts w:ascii="Century Schoolbook" w:hAnsi="Century Schoolbook" w:cs="Arial"/>
          <w:sz w:val="20"/>
          <w:szCs w:val="20"/>
        </w:rPr>
      </w:pPr>
      <w:r w:rsidRPr="003C642B">
        <w:rPr>
          <w:rFonts w:ascii="Century Schoolbook" w:hAnsi="Century Schoolbook" w:cs="Arial"/>
          <w:sz w:val="20"/>
          <w:szCs w:val="20"/>
        </w:rPr>
        <w:t>Number of participants lost to follow-up.</w:t>
      </w:r>
    </w:p>
    <w:p w:rsidR="005D068C" w:rsidRPr="003C642B" w:rsidRDefault="005D068C" w:rsidP="005D068C">
      <w:pPr>
        <w:numPr>
          <w:ilvl w:val="0"/>
          <w:numId w:val="37"/>
        </w:numPr>
        <w:rPr>
          <w:rFonts w:ascii="Century Schoolbook" w:hAnsi="Century Schoolbook" w:cs="Arial"/>
          <w:sz w:val="20"/>
          <w:szCs w:val="20"/>
        </w:rPr>
      </w:pPr>
      <w:r w:rsidRPr="003C642B">
        <w:rPr>
          <w:rFonts w:ascii="Century Schoolbook" w:hAnsi="Century Schoolbook" w:cs="Arial"/>
          <w:sz w:val="20"/>
          <w:szCs w:val="20"/>
        </w:rPr>
        <w:t>A summary of any complaints about the research since the last Committee review.</w:t>
      </w:r>
    </w:p>
    <w:p w:rsidR="005D068C" w:rsidRPr="003C642B" w:rsidRDefault="005D068C" w:rsidP="005D068C">
      <w:pPr>
        <w:numPr>
          <w:ilvl w:val="0"/>
          <w:numId w:val="37"/>
        </w:numPr>
        <w:rPr>
          <w:rFonts w:ascii="Century Schoolbook" w:hAnsi="Century Schoolbook" w:cs="Arial"/>
          <w:sz w:val="20"/>
          <w:szCs w:val="20"/>
        </w:rPr>
      </w:pPr>
      <w:r w:rsidRPr="003C642B">
        <w:rPr>
          <w:rFonts w:ascii="Century Schoolbook" w:hAnsi="Century Schoolbook" w:cs="Arial"/>
          <w:sz w:val="20"/>
          <w:szCs w:val="20"/>
        </w:rPr>
        <w:t>A summary of any relevant recent literature, interim findings, and amendments or modifications to the research since the last Committee review.</w:t>
      </w:r>
    </w:p>
    <w:p w:rsidR="005D068C" w:rsidRPr="003C642B" w:rsidRDefault="005D068C" w:rsidP="005D068C">
      <w:pPr>
        <w:numPr>
          <w:ilvl w:val="0"/>
          <w:numId w:val="37"/>
        </w:numPr>
        <w:rPr>
          <w:rFonts w:ascii="Century Schoolbook" w:hAnsi="Century Schoolbook" w:cs="Arial"/>
          <w:sz w:val="20"/>
          <w:szCs w:val="20"/>
        </w:rPr>
      </w:pPr>
      <w:r w:rsidRPr="003C642B">
        <w:rPr>
          <w:rFonts w:ascii="Century Schoolbook" w:hAnsi="Century Schoolbook" w:cs="Arial"/>
          <w:sz w:val="20"/>
          <w:szCs w:val="20"/>
        </w:rPr>
        <w:t>Any relevant multi-centre trial reports.</w:t>
      </w:r>
    </w:p>
    <w:p w:rsidR="005D068C" w:rsidRPr="003C642B" w:rsidRDefault="005D068C" w:rsidP="005D068C">
      <w:pPr>
        <w:numPr>
          <w:ilvl w:val="0"/>
          <w:numId w:val="37"/>
        </w:numPr>
        <w:rPr>
          <w:rFonts w:ascii="Century Schoolbook" w:hAnsi="Century Schoolbook" w:cs="Arial"/>
          <w:sz w:val="20"/>
          <w:szCs w:val="20"/>
        </w:rPr>
      </w:pPr>
      <w:r w:rsidRPr="003C642B">
        <w:rPr>
          <w:rFonts w:ascii="Century Schoolbook" w:hAnsi="Century Schoolbook" w:cs="Arial"/>
          <w:sz w:val="20"/>
          <w:szCs w:val="20"/>
        </w:rPr>
        <w:t>Any other relevant information, especially about risks associated with the research. (Have risks and benefits been consistent with those originally anticipated?)</w:t>
      </w:r>
    </w:p>
    <w:p w:rsidR="005D068C" w:rsidRPr="003C642B" w:rsidRDefault="005D068C" w:rsidP="005D068C">
      <w:pPr>
        <w:numPr>
          <w:ilvl w:val="0"/>
          <w:numId w:val="37"/>
        </w:numPr>
        <w:rPr>
          <w:rFonts w:ascii="Century Schoolbook" w:hAnsi="Century Schoolbook" w:cs="Arial"/>
          <w:sz w:val="20"/>
          <w:szCs w:val="20"/>
        </w:rPr>
      </w:pPr>
      <w:r w:rsidRPr="003C642B">
        <w:rPr>
          <w:rFonts w:ascii="Century Schoolbook" w:hAnsi="Century Schoolbook" w:cs="Arial"/>
          <w:sz w:val="20"/>
          <w:szCs w:val="20"/>
        </w:rPr>
        <w:t>Information regarding requests for changes.</w:t>
      </w:r>
    </w:p>
    <w:p w:rsidR="005D068C" w:rsidRPr="003C642B" w:rsidRDefault="005D068C" w:rsidP="005D068C">
      <w:pPr>
        <w:numPr>
          <w:ilvl w:val="0"/>
          <w:numId w:val="37"/>
        </w:numPr>
        <w:rPr>
          <w:rFonts w:ascii="Century Schoolbook" w:hAnsi="Century Schoolbook" w:cs="Arial"/>
          <w:sz w:val="20"/>
          <w:szCs w:val="20"/>
        </w:rPr>
      </w:pPr>
      <w:r w:rsidRPr="003C642B">
        <w:rPr>
          <w:rFonts w:ascii="Century Schoolbook" w:hAnsi="Century Schoolbook" w:cs="Arial"/>
          <w:sz w:val="20"/>
          <w:szCs w:val="20"/>
        </w:rPr>
        <w:t xml:space="preserve">Changes in sponsors or </w:t>
      </w:r>
      <w:proofErr w:type="spellStart"/>
      <w:r w:rsidRPr="003C642B">
        <w:rPr>
          <w:rFonts w:ascii="Century Schoolbook" w:hAnsi="Century Schoolbook" w:cs="Arial"/>
          <w:sz w:val="20"/>
          <w:szCs w:val="20"/>
        </w:rPr>
        <w:t>funders</w:t>
      </w:r>
      <w:proofErr w:type="spellEnd"/>
      <w:r w:rsidRPr="003C642B">
        <w:rPr>
          <w:rFonts w:ascii="Century Schoolbook" w:hAnsi="Century Schoolbook" w:cs="Arial"/>
          <w:sz w:val="20"/>
          <w:szCs w:val="20"/>
        </w:rPr>
        <w:t>.</w:t>
      </w:r>
    </w:p>
    <w:p w:rsidR="005D068C" w:rsidRPr="003C642B" w:rsidRDefault="005D068C" w:rsidP="005D068C">
      <w:pPr>
        <w:numPr>
          <w:ilvl w:val="0"/>
          <w:numId w:val="37"/>
        </w:numPr>
        <w:rPr>
          <w:rFonts w:ascii="Century Schoolbook" w:hAnsi="Century Schoolbook" w:cs="Arial"/>
          <w:sz w:val="20"/>
          <w:szCs w:val="20"/>
        </w:rPr>
      </w:pPr>
      <w:r w:rsidRPr="003C642B">
        <w:rPr>
          <w:rFonts w:ascii="Century Schoolbook" w:hAnsi="Century Schoolbook" w:cs="Arial"/>
          <w:sz w:val="20"/>
          <w:szCs w:val="20"/>
        </w:rPr>
        <w:t>Changes in research personnel.</w:t>
      </w:r>
    </w:p>
    <w:p w:rsidR="005D068C" w:rsidRPr="003C642B" w:rsidRDefault="005D068C" w:rsidP="005D068C">
      <w:pPr>
        <w:numPr>
          <w:ilvl w:val="0"/>
          <w:numId w:val="37"/>
        </w:numPr>
        <w:rPr>
          <w:rFonts w:ascii="Century Schoolbook" w:hAnsi="Century Schoolbook" w:cs="Arial"/>
          <w:sz w:val="20"/>
          <w:szCs w:val="20"/>
        </w:rPr>
      </w:pPr>
      <w:r w:rsidRPr="003C642B">
        <w:rPr>
          <w:rFonts w:ascii="Century Schoolbook" w:hAnsi="Century Schoolbook" w:cs="Arial"/>
          <w:sz w:val="20"/>
          <w:szCs w:val="20"/>
        </w:rPr>
        <w:t>A copy of the current informed consent documents, including Afrikaans and Xhosa translations if applicable.</w:t>
      </w:r>
    </w:p>
    <w:p w:rsidR="005D068C" w:rsidRPr="003C642B" w:rsidRDefault="005D068C" w:rsidP="005D068C">
      <w:pPr>
        <w:numPr>
          <w:ilvl w:val="0"/>
          <w:numId w:val="37"/>
        </w:numPr>
        <w:rPr>
          <w:rFonts w:ascii="Century Schoolbook" w:hAnsi="Century Schoolbook" w:cs="Arial"/>
          <w:sz w:val="20"/>
          <w:szCs w:val="20"/>
        </w:rPr>
      </w:pPr>
      <w:r w:rsidRPr="003C642B">
        <w:rPr>
          <w:rFonts w:ascii="Century Schoolbook" w:hAnsi="Century Schoolbook" w:cs="Arial"/>
          <w:sz w:val="20"/>
          <w:szCs w:val="20"/>
        </w:rPr>
        <w:t>Any newly proposed consent documents.</w:t>
      </w:r>
    </w:p>
    <w:p w:rsidR="005D068C" w:rsidRPr="003C642B" w:rsidRDefault="005D068C" w:rsidP="005D068C">
      <w:pPr>
        <w:numPr>
          <w:ilvl w:val="0"/>
          <w:numId w:val="37"/>
        </w:numPr>
        <w:rPr>
          <w:rFonts w:ascii="Century Schoolbook" w:hAnsi="Century Schoolbook" w:cs="Arial"/>
          <w:sz w:val="20"/>
          <w:szCs w:val="20"/>
        </w:rPr>
      </w:pPr>
      <w:r w:rsidRPr="003C642B">
        <w:rPr>
          <w:rFonts w:ascii="Century Schoolbook" w:hAnsi="Century Schoolbook" w:cs="Arial"/>
          <w:sz w:val="20"/>
          <w:szCs w:val="20"/>
        </w:rPr>
        <w:t>A summary of any unanticipated problems and available information regarding adverse events.  In many cases, such a summary could be a brief statement that there have been no unanticipated problems and that adverse events have occurred at the expected frequency and level of severity as documented in the research protocol, the informed consent document and any investigator’s brochure.</w:t>
      </w:r>
    </w:p>
    <w:p w:rsidR="005D068C" w:rsidRPr="003C642B" w:rsidRDefault="005D068C" w:rsidP="005D068C">
      <w:pPr>
        <w:rPr>
          <w:rFonts w:ascii="Calisto MT" w:hAnsi="Calisto MT" w:cs="Arial"/>
          <w:sz w:val="8"/>
          <w:szCs w:val="8"/>
        </w:rPr>
      </w:pPr>
    </w:p>
    <w:p w:rsidR="005D068C" w:rsidRPr="003C642B" w:rsidRDefault="005D068C" w:rsidP="005D068C">
      <w:pPr>
        <w:tabs>
          <w:tab w:val="num" w:pos="720"/>
        </w:tabs>
        <w:rPr>
          <w:rFonts w:ascii="Century Schoolbook" w:hAnsi="Century Schoolbook" w:cs="Arial"/>
          <w:sz w:val="20"/>
          <w:szCs w:val="20"/>
        </w:rPr>
      </w:pPr>
      <w:r w:rsidRPr="003C642B">
        <w:rPr>
          <w:rFonts w:ascii="Century Schoolbook" w:hAnsi="Century Schoolbook" w:cs="Arial"/>
          <w:sz w:val="20"/>
          <w:szCs w:val="20"/>
        </w:rPr>
        <w:t>If the Committee has determined that a protocol requires continuing review at a full committee meeting then all members must receive and review a protocol summary and a status report on the progress of the study, and at least one member must receive the complete protocol, within two weeks of the convened meeting. The following materials are sent to the main reviewer:</w:t>
      </w:r>
    </w:p>
    <w:p w:rsidR="005D068C" w:rsidRPr="00F07001" w:rsidRDefault="005D068C" w:rsidP="005D068C">
      <w:pPr>
        <w:tabs>
          <w:tab w:val="num" w:pos="720"/>
        </w:tabs>
        <w:rPr>
          <w:rFonts w:ascii="Calisto MT" w:hAnsi="Calisto MT" w:cs="Arial"/>
          <w:sz w:val="8"/>
        </w:rPr>
      </w:pPr>
    </w:p>
    <w:p w:rsidR="005D068C" w:rsidRPr="003C642B" w:rsidRDefault="005D068C" w:rsidP="005D068C">
      <w:pPr>
        <w:rPr>
          <w:rFonts w:ascii="Century Schoolbook" w:hAnsi="Century Schoolbook" w:cs="Arial"/>
          <w:sz w:val="20"/>
          <w:szCs w:val="20"/>
        </w:rPr>
      </w:pPr>
      <w:r w:rsidRPr="003C642B">
        <w:rPr>
          <w:rFonts w:ascii="Century Schoolbook" w:hAnsi="Century Schoolbook" w:cs="Arial"/>
          <w:sz w:val="20"/>
          <w:szCs w:val="20"/>
        </w:rPr>
        <w:t>Continuing review application which includes:</w:t>
      </w:r>
    </w:p>
    <w:p w:rsidR="005D068C" w:rsidRPr="00E437B1" w:rsidRDefault="005D068C" w:rsidP="005D068C">
      <w:pPr>
        <w:rPr>
          <w:rFonts w:ascii="Calisto MT" w:hAnsi="Calisto MT" w:cs="Arial"/>
          <w:sz w:val="8"/>
        </w:rPr>
      </w:pPr>
    </w:p>
    <w:p w:rsidR="005D068C" w:rsidRPr="003C642B" w:rsidRDefault="005D068C" w:rsidP="005D068C">
      <w:pPr>
        <w:numPr>
          <w:ilvl w:val="0"/>
          <w:numId w:val="41"/>
        </w:numPr>
        <w:rPr>
          <w:rFonts w:ascii="Century Schoolbook" w:hAnsi="Century Schoolbook" w:cs="Arial"/>
          <w:sz w:val="20"/>
          <w:szCs w:val="20"/>
        </w:rPr>
      </w:pPr>
      <w:r w:rsidRPr="003C642B">
        <w:rPr>
          <w:rFonts w:ascii="Century Schoolbook" w:hAnsi="Century Schoolbook" w:cs="Arial"/>
          <w:sz w:val="20"/>
          <w:szCs w:val="20"/>
        </w:rPr>
        <w:t>A summary containing the relevant information required to determine whether the protocol continues to fulfil the criteria for approval.</w:t>
      </w:r>
    </w:p>
    <w:p w:rsidR="005D068C" w:rsidRDefault="005D068C" w:rsidP="005D068C">
      <w:pPr>
        <w:numPr>
          <w:ilvl w:val="0"/>
          <w:numId w:val="41"/>
        </w:numPr>
        <w:rPr>
          <w:rFonts w:ascii="Century Schoolbook" w:hAnsi="Century Schoolbook" w:cs="Arial"/>
          <w:sz w:val="20"/>
          <w:szCs w:val="20"/>
        </w:rPr>
      </w:pPr>
      <w:r w:rsidRPr="003C642B">
        <w:rPr>
          <w:rFonts w:ascii="Century Schoolbook" w:hAnsi="Century Schoolbook" w:cs="Arial"/>
          <w:sz w:val="20"/>
          <w:szCs w:val="20"/>
        </w:rPr>
        <w:t>A status report on the progress of the research, including any changes previously approved by the Committee.</w:t>
      </w:r>
    </w:p>
    <w:p w:rsidR="005D068C" w:rsidRPr="008B7553" w:rsidRDefault="005D068C" w:rsidP="005D068C">
      <w:pPr>
        <w:rPr>
          <w:rFonts w:ascii="Century Schoolbook" w:hAnsi="Century Schoolbook" w:cs="Arial"/>
          <w:sz w:val="8"/>
          <w:szCs w:val="20"/>
        </w:rPr>
      </w:pPr>
    </w:p>
    <w:p w:rsidR="005D068C" w:rsidRPr="003C642B" w:rsidRDefault="005D068C" w:rsidP="005D068C">
      <w:pPr>
        <w:rPr>
          <w:rFonts w:ascii="Century Schoolbook" w:hAnsi="Century Schoolbook" w:cs="Arial"/>
          <w:sz w:val="20"/>
          <w:szCs w:val="20"/>
        </w:rPr>
      </w:pPr>
      <w:r w:rsidRPr="003C642B">
        <w:rPr>
          <w:rFonts w:ascii="Century Schoolbook" w:hAnsi="Century Schoolbook" w:cs="Arial"/>
          <w:sz w:val="20"/>
          <w:szCs w:val="20"/>
        </w:rPr>
        <w:t>When reviewing the informed consent document(</w:t>
      </w:r>
      <w:proofErr w:type="spellStart"/>
      <w:r w:rsidRPr="003C642B">
        <w:rPr>
          <w:rFonts w:ascii="Century Schoolbook" w:hAnsi="Century Schoolbook" w:cs="Arial"/>
          <w:sz w:val="20"/>
          <w:szCs w:val="20"/>
        </w:rPr>
        <w:t>s</w:t>
      </w:r>
      <w:proofErr w:type="spellEnd"/>
      <w:r w:rsidRPr="003C642B">
        <w:rPr>
          <w:rFonts w:ascii="Century Schoolbook" w:hAnsi="Century Schoolbook" w:cs="Arial"/>
          <w:sz w:val="20"/>
          <w:szCs w:val="20"/>
        </w:rPr>
        <w:t>), the Committee must ensure that:</w:t>
      </w:r>
    </w:p>
    <w:p w:rsidR="005D068C" w:rsidRPr="003C642B" w:rsidRDefault="005D068C" w:rsidP="005D068C">
      <w:pPr>
        <w:rPr>
          <w:rFonts w:ascii="Calisto MT" w:hAnsi="Calisto MT" w:cs="Arial"/>
          <w:sz w:val="2"/>
          <w:szCs w:val="2"/>
        </w:rPr>
      </w:pPr>
    </w:p>
    <w:p w:rsidR="005D068C" w:rsidRPr="00D12EC5" w:rsidRDefault="005D068C" w:rsidP="005D068C">
      <w:pPr>
        <w:numPr>
          <w:ilvl w:val="0"/>
          <w:numId w:val="40"/>
        </w:numPr>
        <w:rPr>
          <w:rFonts w:ascii="Century Schoolbook" w:hAnsi="Century Schoolbook" w:cs="Arial"/>
          <w:sz w:val="20"/>
          <w:szCs w:val="20"/>
        </w:rPr>
      </w:pPr>
      <w:r w:rsidRPr="00D12EC5">
        <w:rPr>
          <w:rFonts w:ascii="Century Schoolbook" w:hAnsi="Century Schoolbook" w:cs="Arial"/>
          <w:sz w:val="20"/>
          <w:szCs w:val="20"/>
        </w:rPr>
        <w:t>The currently approved or proposed consent document is still accurate and complete; and</w:t>
      </w:r>
    </w:p>
    <w:p w:rsidR="005D068C" w:rsidRPr="00D12EC5" w:rsidRDefault="005D068C" w:rsidP="005D068C">
      <w:pPr>
        <w:numPr>
          <w:ilvl w:val="0"/>
          <w:numId w:val="40"/>
        </w:numPr>
        <w:rPr>
          <w:rFonts w:ascii="Century Schoolbook" w:hAnsi="Century Schoolbook" w:cs="Arial"/>
          <w:sz w:val="20"/>
          <w:szCs w:val="20"/>
        </w:rPr>
      </w:pPr>
      <w:r w:rsidRPr="00D12EC5">
        <w:rPr>
          <w:rFonts w:ascii="Century Schoolbook" w:hAnsi="Century Schoolbook" w:cs="Arial"/>
          <w:sz w:val="20"/>
          <w:szCs w:val="20"/>
        </w:rPr>
        <w:t>Any significant new findings that may relate to the participant’s willingness to continue taking part are given to participants.</w:t>
      </w:r>
    </w:p>
    <w:p w:rsidR="005D068C" w:rsidRPr="00D12EC5" w:rsidRDefault="005D068C" w:rsidP="005D068C">
      <w:pPr>
        <w:tabs>
          <w:tab w:val="num" w:pos="720"/>
        </w:tabs>
        <w:rPr>
          <w:rFonts w:ascii="Century Schoolbook" w:hAnsi="Century Schoolbook" w:cs="Arial"/>
          <w:sz w:val="8"/>
          <w:szCs w:val="8"/>
        </w:rPr>
      </w:pPr>
    </w:p>
    <w:p w:rsidR="005D068C" w:rsidRPr="00D12EC5" w:rsidRDefault="005D068C" w:rsidP="005D068C">
      <w:pPr>
        <w:tabs>
          <w:tab w:val="num" w:pos="720"/>
        </w:tabs>
        <w:rPr>
          <w:rFonts w:ascii="Century Schoolbook" w:hAnsi="Century Schoolbook" w:cs="Arial"/>
          <w:sz w:val="20"/>
          <w:szCs w:val="20"/>
        </w:rPr>
      </w:pPr>
      <w:r w:rsidRPr="00D12EC5">
        <w:rPr>
          <w:rFonts w:ascii="Century Schoolbook" w:hAnsi="Century Schoolbook" w:cs="Arial"/>
          <w:sz w:val="20"/>
          <w:szCs w:val="20"/>
        </w:rPr>
        <w:lastRenderedPageBreak/>
        <w:t>The protocol must be approved by a majority of the members present.  After the meeting the investigator is notified of the action taken. The Committee’s conditions, if any, must be met before continuing approval may be granted.</w:t>
      </w:r>
    </w:p>
    <w:p w:rsidR="005D068C" w:rsidRPr="00D12EC5" w:rsidRDefault="005D068C" w:rsidP="005D068C">
      <w:pPr>
        <w:tabs>
          <w:tab w:val="num" w:pos="720"/>
        </w:tabs>
        <w:rPr>
          <w:rFonts w:ascii="Calisto MT" w:hAnsi="Calisto MT" w:cs="Arial"/>
          <w:sz w:val="8"/>
          <w:szCs w:val="8"/>
        </w:rPr>
      </w:pPr>
    </w:p>
    <w:p w:rsidR="005D068C" w:rsidRPr="00D12EC5" w:rsidRDefault="005D068C" w:rsidP="005D068C">
      <w:pPr>
        <w:tabs>
          <w:tab w:val="num" w:pos="720"/>
        </w:tabs>
        <w:rPr>
          <w:rFonts w:ascii="Century Schoolbook" w:hAnsi="Century Schoolbook" w:cs="Arial"/>
          <w:sz w:val="20"/>
          <w:szCs w:val="20"/>
        </w:rPr>
      </w:pPr>
      <w:r w:rsidRPr="00D12EC5">
        <w:rPr>
          <w:rFonts w:ascii="Century Schoolbook" w:hAnsi="Century Schoolbook" w:cs="Arial"/>
          <w:sz w:val="20"/>
          <w:szCs w:val="20"/>
        </w:rPr>
        <w:t>Expedited review of progress reports by the Chair or designee follows the procedures outlined above. A list of all expedited continuing reviews will be provided at the next scheduled convened Committee meeting.</w:t>
      </w:r>
    </w:p>
    <w:p w:rsidR="005D068C" w:rsidRPr="00D12EC5" w:rsidRDefault="005D068C" w:rsidP="005D068C">
      <w:pPr>
        <w:tabs>
          <w:tab w:val="num" w:pos="720"/>
        </w:tabs>
        <w:rPr>
          <w:rFonts w:ascii="Calisto MT" w:hAnsi="Calisto MT" w:cs="Arial"/>
          <w:sz w:val="8"/>
          <w:szCs w:val="8"/>
        </w:rPr>
      </w:pPr>
    </w:p>
    <w:p w:rsidR="005D068C" w:rsidRPr="00D12EC5" w:rsidRDefault="005D068C" w:rsidP="005D068C">
      <w:pPr>
        <w:tabs>
          <w:tab w:val="num" w:pos="720"/>
        </w:tabs>
        <w:rPr>
          <w:rFonts w:ascii="Century Schoolbook" w:hAnsi="Century Schoolbook" w:cs="Arial"/>
          <w:sz w:val="20"/>
          <w:szCs w:val="20"/>
        </w:rPr>
      </w:pPr>
      <w:r w:rsidRPr="00D12EC5">
        <w:rPr>
          <w:rFonts w:ascii="Century Schoolbook" w:hAnsi="Century Schoolbook" w:cs="Arial"/>
          <w:sz w:val="20"/>
          <w:szCs w:val="20"/>
        </w:rPr>
        <w:t xml:space="preserve">As a rule, initial approval for a research study is for one-year only, with approval expiring on the one-year anniversary date of the original approval date. The continuing review date is set according to the date on which final approval is granted, either by full-committee or expedited review. </w:t>
      </w:r>
      <w:r w:rsidRPr="00D12EC5">
        <w:rPr>
          <w:rFonts w:ascii="Century Schoolbook" w:hAnsi="Century Schoolbook" w:cs="Arial"/>
          <w:b/>
          <w:sz w:val="20"/>
          <w:szCs w:val="20"/>
        </w:rPr>
        <w:t>[Note: this does not apply to US federally-funded or supported research – see below for separate guidance.]</w:t>
      </w:r>
    </w:p>
    <w:p w:rsidR="005D068C" w:rsidRPr="00D12EC5" w:rsidRDefault="005D068C" w:rsidP="005D068C">
      <w:pPr>
        <w:tabs>
          <w:tab w:val="num" w:pos="720"/>
        </w:tabs>
        <w:rPr>
          <w:rFonts w:ascii="Century Schoolbook" w:hAnsi="Century Schoolbook" w:cs="Arial"/>
          <w:sz w:val="8"/>
          <w:szCs w:val="8"/>
        </w:rPr>
      </w:pPr>
    </w:p>
    <w:p w:rsidR="005D068C" w:rsidRPr="00D12EC5" w:rsidRDefault="005D068C" w:rsidP="005D068C">
      <w:pPr>
        <w:tabs>
          <w:tab w:val="num" w:pos="720"/>
        </w:tabs>
        <w:rPr>
          <w:rFonts w:ascii="Century Schoolbook" w:hAnsi="Century Schoolbook" w:cs="Arial"/>
          <w:sz w:val="20"/>
          <w:szCs w:val="20"/>
        </w:rPr>
      </w:pPr>
      <w:r w:rsidRPr="00D12EC5">
        <w:rPr>
          <w:rFonts w:ascii="Century Schoolbook" w:hAnsi="Century Schoolbook" w:cs="Arial"/>
          <w:b/>
          <w:sz w:val="20"/>
          <w:szCs w:val="20"/>
        </w:rPr>
        <w:t>Principal investigators are responsible for ensuring that progress reports are submitted with enough time for continuing review to take place before the expiry date of the study.</w:t>
      </w:r>
      <w:r w:rsidRPr="00D12EC5">
        <w:rPr>
          <w:rFonts w:ascii="Century Schoolbook" w:hAnsi="Century Schoolbook" w:cs="Arial"/>
          <w:sz w:val="20"/>
          <w:szCs w:val="20"/>
        </w:rPr>
        <w:t xml:space="preserve"> The Human Research Ethics Committee does not have the resources to notify investigators when their studies require annual renewal. If an annual progress report is not submitted prior to the expiry date, a study’s approval will lapse and no data may be collected or used during the period of lapsed approval. Where no applications for renewal are forthcoming, a study will be closed.</w:t>
      </w:r>
    </w:p>
    <w:p w:rsidR="005D068C" w:rsidRPr="00D12EC5" w:rsidRDefault="005D068C" w:rsidP="005D068C">
      <w:pPr>
        <w:tabs>
          <w:tab w:val="num" w:pos="720"/>
        </w:tabs>
        <w:rPr>
          <w:rFonts w:ascii="Century Schoolbook" w:hAnsi="Century Schoolbook" w:cs="Arial"/>
          <w:sz w:val="8"/>
          <w:szCs w:val="8"/>
        </w:rPr>
      </w:pPr>
    </w:p>
    <w:p w:rsidR="005D068C" w:rsidRPr="00D12EC5" w:rsidRDefault="005D068C" w:rsidP="005D068C">
      <w:pPr>
        <w:tabs>
          <w:tab w:val="num" w:pos="720"/>
        </w:tabs>
        <w:rPr>
          <w:rFonts w:ascii="Century Schoolbook" w:hAnsi="Century Schoolbook" w:cs="Arial"/>
          <w:sz w:val="20"/>
          <w:szCs w:val="20"/>
        </w:rPr>
      </w:pPr>
      <w:r w:rsidRPr="00D12EC5">
        <w:rPr>
          <w:rFonts w:ascii="Century Schoolbook" w:hAnsi="Century Schoolbook" w:cs="Arial"/>
          <w:sz w:val="20"/>
          <w:szCs w:val="20"/>
        </w:rPr>
        <w:t>If the full committee (or Chair or designee) does not approve the continuation of a study, it must inform the principal investigator in writing, with reasons for its decision. The principal investigator is invited to respond in person or in writing providing justification for revising the decision or a proposal to change the protocol. The fact that an appeal by the principal investigator is on-going does not change the expiry date of prior approval or the consequences of a lapse in such approval. If the principal investigator appeals the decision the Committee must ensure there is a fair hearing of the appeal.</w:t>
      </w:r>
    </w:p>
    <w:p w:rsidR="005D068C" w:rsidRDefault="005D068C" w:rsidP="005D068C">
      <w:pPr>
        <w:tabs>
          <w:tab w:val="num" w:pos="720"/>
        </w:tabs>
        <w:rPr>
          <w:rFonts w:ascii="Calisto MT" w:hAnsi="Calisto MT" w:cs="Arial"/>
        </w:rPr>
      </w:pPr>
    </w:p>
    <w:p w:rsidR="005D068C" w:rsidRPr="00CE7986" w:rsidRDefault="005D068C" w:rsidP="005D068C">
      <w:pPr>
        <w:tabs>
          <w:tab w:val="num" w:pos="720"/>
        </w:tabs>
        <w:rPr>
          <w:rFonts w:ascii="Calisto MT" w:hAnsi="Calisto MT" w:cs="Arial"/>
        </w:rPr>
      </w:pPr>
    </w:p>
    <w:p w:rsidR="005D068C" w:rsidRPr="00D12EC5" w:rsidRDefault="005D068C" w:rsidP="005D068C">
      <w:pPr>
        <w:tabs>
          <w:tab w:val="num" w:pos="720"/>
        </w:tabs>
        <w:rPr>
          <w:rFonts w:ascii="Berlin Sans FB" w:hAnsi="Berlin Sans FB" w:cs="Arial"/>
          <w:w w:val="90"/>
          <w:kern w:val="32"/>
          <w:position w:val="6"/>
          <w:sz w:val="32"/>
          <w:szCs w:val="32"/>
        </w:rPr>
      </w:pPr>
      <w:r w:rsidRPr="00D12EC5">
        <w:rPr>
          <w:rFonts w:ascii="Berlin Sans FB" w:hAnsi="Berlin Sans FB" w:cs="Arial"/>
          <w:w w:val="90"/>
          <w:kern w:val="32"/>
          <w:position w:val="6"/>
          <w:sz w:val="32"/>
          <w:szCs w:val="32"/>
        </w:rPr>
        <w:t>Continuing Review of Federally-funded or Supported Research</w:t>
      </w:r>
    </w:p>
    <w:p w:rsidR="005D068C" w:rsidRPr="00D12EC5" w:rsidRDefault="005D068C" w:rsidP="005D068C">
      <w:pPr>
        <w:tabs>
          <w:tab w:val="num" w:pos="720"/>
        </w:tabs>
        <w:rPr>
          <w:rFonts w:ascii="Century Schoolbook" w:hAnsi="Century Schoolbook" w:cs="Arial"/>
          <w:sz w:val="20"/>
          <w:szCs w:val="20"/>
        </w:rPr>
      </w:pPr>
      <w:r w:rsidRPr="00D12EC5">
        <w:rPr>
          <w:rFonts w:ascii="Century Schoolbook" w:hAnsi="Century Schoolbook" w:cs="Arial"/>
          <w:sz w:val="20"/>
          <w:szCs w:val="20"/>
        </w:rPr>
        <w:t xml:space="preserve">An application to continue an active study shall be reviewed based on approval criteria that are the same as for initial reviews (45 </w:t>
      </w:r>
      <w:proofErr w:type="spellStart"/>
      <w:r w:rsidRPr="00D12EC5">
        <w:rPr>
          <w:rFonts w:ascii="Century Schoolbook" w:hAnsi="Century Schoolbook" w:cs="Arial"/>
          <w:sz w:val="20"/>
          <w:szCs w:val="20"/>
        </w:rPr>
        <w:t>CFR</w:t>
      </w:r>
      <w:proofErr w:type="spellEnd"/>
      <w:r w:rsidRPr="00D12EC5">
        <w:rPr>
          <w:rFonts w:ascii="Century Schoolbook" w:hAnsi="Century Schoolbook" w:cs="Arial"/>
          <w:sz w:val="20"/>
          <w:szCs w:val="20"/>
        </w:rPr>
        <w:t xml:space="preserve"> 46.111):</w:t>
      </w:r>
    </w:p>
    <w:p w:rsidR="005D068C" w:rsidRPr="00D12EC5" w:rsidRDefault="005D068C" w:rsidP="005D068C">
      <w:pPr>
        <w:tabs>
          <w:tab w:val="num" w:pos="720"/>
        </w:tabs>
        <w:rPr>
          <w:rFonts w:ascii="Calisto MT" w:hAnsi="Calisto MT" w:cs="Arial"/>
          <w:sz w:val="2"/>
          <w:szCs w:val="2"/>
        </w:rPr>
      </w:pPr>
    </w:p>
    <w:p w:rsidR="005D068C" w:rsidRPr="00D12EC5" w:rsidRDefault="005D068C" w:rsidP="005D068C">
      <w:pPr>
        <w:numPr>
          <w:ilvl w:val="0"/>
          <w:numId w:val="35"/>
        </w:numPr>
        <w:rPr>
          <w:rFonts w:ascii="Century Schoolbook" w:hAnsi="Century Schoolbook" w:cs="Arial"/>
          <w:sz w:val="20"/>
          <w:szCs w:val="20"/>
        </w:rPr>
      </w:pPr>
      <w:r w:rsidRPr="00D12EC5">
        <w:rPr>
          <w:rFonts w:ascii="Century Schoolbook" w:hAnsi="Century Schoolbook" w:cs="Arial"/>
          <w:sz w:val="20"/>
          <w:szCs w:val="20"/>
        </w:rPr>
        <w:t>Minimisation of risk</w:t>
      </w:r>
    </w:p>
    <w:p w:rsidR="005D068C" w:rsidRPr="00D12EC5" w:rsidRDefault="005D068C" w:rsidP="005D068C">
      <w:pPr>
        <w:numPr>
          <w:ilvl w:val="0"/>
          <w:numId w:val="35"/>
        </w:numPr>
        <w:rPr>
          <w:rFonts w:ascii="Century Schoolbook" w:hAnsi="Century Schoolbook" w:cs="Arial"/>
          <w:sz w:val="20"/>
          <w:szCs w:val="20"/>
        </w:rPr>
      </w:pPr>
      <w:r w:rsidRPr="00D12EC5">
        <w:rPr>
          <w:rFonts w:ascii="Century Schoolbook" w:hAnsi="Century Schoolbook" w:cs="Arial"/>
          <w:sz w:val="20"/>
          <w:szCs w:val="20"/>
        </w:rPr>
        <w:t>A reasonable balance of risks and anticipated benefits</w:t>
      </w:r>
    </w:p>
    <w:p w:rsidR="005D068C" w:rsidRPr="00D12EC5" w:rsidRDefault="005D068C" w:rsidP="005D068C">
      <w:pPr>
        <w:numPr>
          <w:ilvl w:val="0"/>
          <w:numId w:val="35"/>
        </w:numPr>
        <w:rPr>
          <w:rFonts w:ascii="Century Schoolbook" w:hAnsi="Century Schoolbook" w:cs="Arial"/>
          <w:sz w:val="20"/>
          <w:szCs w:val="20"/>
        </w:rPr>
      </w:pPr>
      <w:r w:rsidRPr="00D12EC5">
        <w:rPr>
          <w:rFonts w:ascii="Century Schoolbook" w:hAnsi="Century Schoolbook" w:cs="Arial"/>
          <w:sz w:val="20"/>
          <w:szCs w:val="20"/>
        </w:rPr>
        <w:t>Equitable selection of subjects</w:t>
      </w:r>
    </w:p>
    <w:p w:rsidR="005D068C" w:rsidRPr="00D12EC5" w:rsidRDefault="005D068C" w:rsidP="005D068C">
      <w:pPr>
        <w:numPr>
          <w:ilvl w:val="0"/>
          <w:numId w:val="35"/>
        </w:numPr>
        <w:rPr>
          <w:rFonts w:ascii="Century Schoolbook" w:hAnsi="Century Schoolbook" w:cs="Arial"/>
          <w:sz w:val="20"/>
          <w:szCs w:val="20"/>
        </w:rPr>
      </w:pPr>
      <w:r w:rsidRPr="00D12EC5">
        <w:rPr>
          <w:rFonts w:ascii="Century Schoolbook" w:hAnsi="Century Schoolbook" w:cs="Arial"/>
          <w:sz w:val="20"/>
          <w:szCs w:val="20"/>
        </w:rPr>
        <w:t>Informed consent is adequate and appropriately documented</w:t>
      </w:r>
    </w:p>
    <w:p w:rsidR="005D068C" w:rsidRPr="00D12EC5" w:rsidRDefault="005D068C" w:rsidP="005D068C">
      <w:pPr>
        <w:numPr>
          <w:ilvl w:val="0"/>
          <w:numId w:val="35"/>
        </w:numPr>
        <w:rPr>
          <w:rFonts w:ascii="Century Schoolbook" w:hAnsi="Century Schoolbook" w:cs="Arial"/>
          <w:sz w:val="20"/>
          <w:szCs w:val="20"/>
        </w:rPr>
      </w:pPr>
      <w:r w:rsidRPr="00D12EC5">
        <w:rPr>
          <w:rFonts w:ascii="Century Schoolbook" w:hAnsi="Century Schoolbook" w:cs="Arial"/>
          <w:sz w:val="20"/>
          <w:szCs w:val="20"/>
        </w:rPr>
        <w:t>Adequate safety monitoring</w:t>
      </w:r>
    </w:p>
    <w:p w:rsidR="005D068C" w:rsidRPr="00D12EC5" w:rsidRDefault="005D068C" w:rsidP="005D068C">
      <w:pPr>
        <w:numPr>
          <w:ilvl w:val="0"/>
          <w:numId w:val="35"/>
        </w:numPr>
        <w:rPr>
          <w:rFonts w:ascii="Century Schoolbook" w:hAnsi="Century Schoolbook" w:cs="Arial"/>
          <w:sz w:val="20"/>
          <w:szCs w:val="20"/>
        </w:rPr>
      </w:pPr>
      <w:r w:rsidRPr="00D12EC5">
        <w:rPr>
          <w:rFonts w:ascii="Century Schoolbook" w:hAnsi="Century Schoolbook" w:cs="Arial"/>
          <w:sz w:val="20"/>
          <w:szCs w:val="20"/>
        </w:rPr>
        <w:t>Adequate provisions to protect privacy and confidentiality</w:t>
      </w:r>
    </w:p>
    <w:p w:rsidR="005D068C" w:rsidRPr="00D12EC5" w:rsidRDefault="005D068C" w:rsidP="005D068C">
      <w:pPr>
        <w:numPr>
          <w:ilvl w:val="0"/>
          <w:numId w:val="35"/>
        </w:numPr>
        <w:rPr>
          <w:rFonts w:ascii="Century Schoolbook" w:hAnsi="Century Schoolbook" w:cs="Arial"/>
          <w:sz w:val="20"/>
          <w:szCs w:val="20"/>
        </w:rPr>
      </w:pPr>
      <w:r w:rsidRPr="00D12EC5">
        <w:rPr>
          <w:rFonts w:ascii="Century Schoolbook" w:hAnsi="Century Schoolbook" w:cs="Arial"/>
          <w:sz w:val="20"/>
          <w:szCs w:val="20"/>
        </w:rPr>
        <w:t>Protection of vulnerable participants</w:t>
      </w:r>
    </w:p>
    <w:p w:rsidR="005D068C" w:rsidRPr="00D12EC5" w:rsidRDefault="005D068C" w:rsidP="005D068C">
      <w:pPr>
        <w:tabs>
          <w:tab w:val="num" w:pos="720"/>
        </w:tabs>
        <w:rPr>
          <w:rFonts w:ascii="Century Schoolbook" w:hAnsi="Century Schoolbook" w:cs="Arial"/>
          <w:sz w:val="8"/>
          <w:szCs w:val="8"/>
        </w:rPr>
      </w:pPr>
    </w:p>
    <w:p w:rsidR="005D068C" w:rsidRPr="00D12EC5" w:rsidRDefault="005D068C" w:rsidP="005D068C">
      <w:pPr>
        <w:tabs>
          <w:tab w:val="num" w:pos="720"/>
        </w:tabs>
        <w:rPr>
          <w:rFonts w:ascii="Century Schoolbook" w:hAnsi="Century Schoolbook" w:cs="Arial"/>
          <w:sz w:val="20"/>
          <w:szCs w:val="20"/>
        </w:rPr>
      </w:pPr>
      <w:r w:rsidRPr="00D12EC5">
        <w:rPr>
          <w:rFonts w:ascii="Century Schoolbook" w:hAnsi="Century Schoolbook" w:cs="Arial"/>
          <w:sz w:val="20"/>
          <w:szCs w:val="20"/>
        </w:rPr>
        <w:t>Protocols that require full committee review for their initial reviews generally need it for their continuing reviews.  The expedited process may be used when:</w:t>
      </w:r>
    </w:p>
    <w:p w:rsidR="005D068C" w:rsidRPr="00D12EC5" w:rsidRDefault="005D068C" w:rsidP="005D068C">
      <w:pPr>
        <w:tabs>
          <w:tab w:val="num" w:pos="720"/>
        </w:tabs>
        <w:rPr>
          <w:rFonts w:ascii="Calisto MT" w:hAnsi="Calisto MT" w:cs="Arial"/>
          <w:sz w:val="2"/>
          <w:szCs w:val="2"/>
        </w:rPr>
      </w:pPr>
    </w:p>
    <w:p w:rsidR="005D068C" w:rsidRPr="00D12EC5" w:rsidRDefault="005D068C" w:rsidP="005D068C">
      <w:pPr>
        <w:numPr>
          <w:ilvl w:val="0"/>
          <w:numId w:val="36"/>
        </w:numPr>
        <w:rPr>
          <w:rFonts w:ascii="Century Schoolbook" w:hAnsi="Century Schoolbook" w:cs="Arial"/>
          <w:sz w:val="20"/>
          <w:szCs w:val="20"/>
        </w:rPr>
      </w:pPr>
      <w:r w:rsidRPr="00D12EC5">
        <w:rPr>
          <w:rFonts w:ascii="Century Schoolbook" w:hAnsi="Century Schoolbook" w:cs="Arial"/>
          <w:sz w:val="20"/>
          <w:szCs w:val="20"/>
        </w:rPr>
        <w:t>The Human Research Ethics Committee documented its decision that the study involves ‘minimal risk’ and is eligible for future expedited review.</w:t>
      </w:r>
    </w:p>
    <w:p w:rsidR="005D068C" w:rsidRPr="00D12EC5" w:rsidRDefault="005D068C" w:rsidP="005D068C">
      <w:pPr>
        <w:numPr>
          <w:ilvl w:val="0"/>
          <w:numId w:val="36"/>
        </w:numPr>
        <w:rPr>
          <w:rFonts w:ascii="Century Schoolbook" w:hAnsi="Century Schoolbook" w:cs="Arial"/>
          <w:sz w:val="20"/>
          <w:szCs w:val="20"/>
        </w:rPr>
      </w:pPr>
      <w:r w:rsidRPr="00D12EC5">
        <w:rPr>
          <w:rFonts w:ascii="Century Schoolbook" w:hAnsi="Century Schoolbook" w:cs="Arial"/>
          <w:sz w:val="20"/>
          <w:szCs w:val="20"/>
        </w:rPr>
        <w:t>The protocol is permanently closed to enrolment of new participants, all enrolled participants have completed all study-related procedures and interventions, and the research remains active only for long-term follow-up of participants; or</w:t>
      </w:r>
    </w:p>
    <w:p w:rsidR="005D068C" w:rsidRPr="00D12EC5" w:rsidRDefault="005D068C" w:rsidP="005D068C">
      <w:pPr>
        <w:numPr>
          <w:ilvl w:val="0"/>
          <w:numId w:val="36"/>
        </w:numPr>
        <w:rPr>
          <w:rFonts w:ascii="Century Schoolbook" w:hAnsi="Century Schoolbook" w:cs="Arial"/>
          <w:sz w:val="20"/>
          <w:szCs w:val="20"/>
        </w:rPr>
      </w:pPr>
      <w:r w:rsidRPr="00D12EC5">
        <w:rPr>
          <w:rFonts w:ascii="Century Schoolbook" w:hAnsi="Century Schoolbook" w:cs="Arial"/>
          <w:sz w:val="20"/>
          <w:szCs w:val="20"/>
        </w:rPr>
        <w:t>No participants have been enrolled and no additional risks have been identified; or</w:t>
      </w:r>
    </w:p>
    <w:p w:rsidR="005D068C" w:rsidRPr="00D12EC5" w:rsidRDefault="005D068C" w:rsidP="005D068C">
      <w:pPr>
        <w:numPr>
          <w:ilvl w:val="0"/>
          <w:numId w:val="36"/>
        </w:numPr>
        <w:rPr>
          <w:rFonts w:ascii="Century Schoolbook" w:hAnsi="Century Schoolbook" w:cs="Arial"/>
          <w:sz w:val="20"/>
          <w:szCs w:val="20"/>
        </w:rPr>
      </w:pPr>
      <w:r w:rsidRPr="00D12EC5">
        <w:rPr>
          <w:rFonts w:ascii="Century Schoolbook" w:hAnsi="Century Schoolbook" w:cs="Arial"/>
          <w:sz w:val="20"/>
          <w:szCs w:val="20"/>
        </w:rPr>
        <w:t>The remaining research activities are limited to data analysis.</w:t>
      </w:r>
    </w:p>
    <w:p w:rsidR="005D068C" w:rsidRDefault="005D068C" w:rsidP="005D068C">
      <w:pPr>
        <w:numPr>
          <w:ilvl w:val="0"/>
          <w:numId w:val="36"/>
        </w:numPr>
        <w:rPr>
          <w:rFonts w:ascii="Century Schoolbook" w:hAnsi="Century Schoolbook" w:cs="Arial"/>
          <w:sz w:val="20"/>
          <w:szCs w:val="20"/>
        </w:rPr>
      </w:pPr>
      <w:r w:rsidRPr="00D12EC5">
        <w:rPr>
          <w:rFonts w:ascii="Century Schoolbook" w:hAnsi="Century Schoolbook" w:cs="Arial"/>
          <w:sz w:val="20"/>
          <w:szCs w:val="20"/>
        </w:rPr>
        <w:t>Studies were initially approved by expedited review and during the course of the study the risks have not increased and the principal investigator is not proposing changes in the study that affect its minimal risk status.</w:t>
      </w:r>
    </w:p>
    <w:p w:rsidR="005D068C" w:rsidRPr="008B7553" w:rsidRDefault="005D068C" w:rsidP="005D068C">
      <w:pPr>
        <w:rPr>
          <w:rFonts w:ascii="Century Schoolbook" w:hAnsi="Century Schoolbook" w:cs="Arial"/>
          <w:sz w:val="8"/>
          <w:szCs w:val="20"/>
        </w:rPr>
      </w:pPr>
    </w:p>
    <w:p w:rsidR="005D068C" w:rsidRPr="00D12EC5" w:rsidRDefault="005D068C" w:rsidP="005D068C">
      <w:pPr>
        <w:rPr>
          <w:rFonts w:ascii="Century Schoolbook" w:hAnsi="Century Schoolbook" w:cs="Arial"/>
          <w:sz w:val="20"/>
          <w:szCs w:val="20"/>
        </w:rPr>
      </w:pPr>
      <w:r w:rsidRPr="00D12EC5">
        <w:rPr>
          <w:rFonts w:ascii="Century Schoolbook" w:hAnsi="Century Schoolbook" w:cs="Arial"/>
          <w:sz w:val="20"/>
          <w:szCs w:val="20"/>
        </w:rPr>
        <w:t>After the meeting the investigator is notified of the action taken. If approved, the informed consent dates must be modified to reflect the new period of approval and expiry.</w:t>
      </w:r>
    </w:p>
    <w:p w:rsidR="005D068C" w:rsidRPr="00D12EC5" w:rsidRDefault="005D068C" w:rsidP="005D068C">
      <w:pPr>
        <w:tabs>
          <w:tab w:val="num" w:pos="720"/>
        </w:tabs>
        <w:rPr>
          <w:rFonts w:ascii="Century Schoolbook" w:hAnsi="Century Schoolbook" w:cs="Arial"/>
          <w:sz w:val="8"/>
          <w:szCs w:val="8"/>
        </w:rPr>
      </w:pPr>
    </w:p>
    <w:p w:rsidR="005D068C" w:rsidRPr="00D12EC5" w:rsidRDefault="005D068C" w:rsidP="005D068C">
      <w:pPr>
        <w:tabs>
          <w:tab w:val="num" w:pos="720"/>
        </w:tabs>
        <w:rPr>
          <w:rFonts w:ascii="Century Schoolbook" w:hAnsi="Century Schoolbook" w:cs="Arial"/>
          <w:sz w:val="20"/>
          <w:szCs w:val="20"/>
        </w:rPr>
      </w:pPr>
      <w:r w:rsidRPr="00D12EC5">
        <w:rPr>
          <w:rFonts w:ascii="Century Schoolbook" w:hAnsi="Century Schoolbook" w:cs="Arial"/>
          <w:sz w:val="20"/>
          <w:szCs w:val="20"/>
        </w:rPr>
        <w:t>Setting the Continuing Review Due Date:</w:t>
      </w:r>
    </w:p>
    <w:p w:rsidR="005D068C" w:rsidRPr="00DE29FE" w:rsidRDefault="005D068C" w:rsidP="005D068C">
      <w:pPr>
        <w:tabs>
          <w:tab w:val="num" w:pos="720"/>
        </w:tabs>
        <w:rPr>
          <w:rFonts w:ascii="Calisto MT" w:hAnsi="Calisto MT" w:cs="Arial"/>
          <w:sz w:val="8"/>
        </w:rPr>
      </w:pPr>
    </w:p>
    <w:p w:rsidR="005D068C" w:rsidRPr="00D12EC5" w:rsidRDefault="005D068C" w:rsidP="005D068C">
      <w:pPr>
        <w:tabs>
          <w:tab w:val="num" w:pos="720"/>
        </w:tabs>
        <w:rPr>
          <w:rFonts w:ascii="Century Schoolbook" w:hAnsi="Century Schoolbook" w:cs="Arial"/>
          <w:sz w:val="20"/>
          <w:szCs w:val="20"/>
        </w:rPr>
      </w:pPr>
      <w:r w:rsidRPr="00D12EC5">
        <w:rPr>
          <w:rFonts w:ascii="Century Schoolbook" w:hAnsi="Century Schoolbook" w:cs="Arial"/>
          <w:sz w:val="20"/>
          <w:szCs w:val="20"/>
        </w:rPr>
        <w:lastRenderedPageBreak/>
        <w:t>Except when an expedited review procedure is used, the protocol continuing review date is set according to the date of approval by a full committee meeting.</w:t>
      </w:r>
    </w:p>
    <w:p w:rsidR="005D068C" w:rsidRPr="00D12EC5" w:rsidRDefault="005D068C" w:rsidP="005D068C">
      <w:pPr>
        <w:tabs>
          <w:tab w:val="num" w:pos="720"/>
        </w:tabs>
        <w:rPr>
          <w:rFonts w:ascii="Century Schoolbook" w:hAnsi="Century Schoolbook" w:cs="Arial"/>
          <w:sz w:val="8"/>
          <w:szCs w:val="8"/>
        </w:rPr>
      </w:pPr>
    </w:p>
    <w:p w:rsidR="005D068C" w:rsidRPr="00D12EC5" w:rsidRDefault="005D068C" w:rsidP="005D068C">
      <w:pPr>
        <w:tabs>
          <w:tab w:val="num" w:pos="720"/>
        </w:tabs>
        <w:rPr>
          <w:rFonts w:ascii="Century Schoolbook" w:hAnsi="Century Schoolbook" w:cs="Arial"/>
          <w:sz w:val="20"/>
          <w:szCs w:val="20"/>
        </w:rPr>
      </w:pPr>
      <w:r w:rsidRPr="00D12EC5">
        <w:rPr>
          <w:rFonts w:ascii="Century Schoolbook" w:hAnsi="Century Schoolbook" w:cs="Arial"/>
          <w:sz w:val="20"/>
          <w:szCs w:val="20"/>
        </w:rPr>
        <w:t>The following scenarios clarify how the date for continuing review is determined (assuming annual review):</w:t>
      </w:r>
    </w:p>
    <w:p w:rsidR="005D068C" w:rsidRPr="00DE29FE" w:rsidRDefault="005D068C" w:rsidP="005D068C">
      <w:pPr>
        <w:tabs>
          <w:tab w:val="num" w:pos="720"/>
        </w:tabs>
        <w:rPr>
          <w:rFonts w:ascii="Calisto MT" w:hAnsi="Calisto MT" w:cs="Arial"/>
          <w:sz w:val="8"/>
        </w:rPr>
      </w:pPr>
    </w:p>
    <w:p w:rsidR="005D068C" w:rsidRPr="00D12EC5" w:rsidRDefault="005D068C" w:rsidP="005D068C">
      <w:pPr>
        <w:tabs>
          <w:tab w:val="num" w:pos="720"/>
        </w:tabs>
        <w:rPr>
          <w:rFonts w:ascii="Berlin Sans FB" w:hAnsi="Berlin Sans FB" w:cs="Arial"/>
          <w:w w:val="90"/>
          <w:kern w:val="24"/>
          <w:position w:val="6"/>
        </w:rPr>
      </w:pPr>
      <w:r w:rsidRPr="00D12EC5">
        <w:rPr>
          <w:rFonts w:ascii="Berlin Sans FB" w:hAnsi="Berlin Sans FB" w:cs="Arial"/>
          <w:w w:val="90"/>
          <w:kern w:val="24"/>
          <w:position w:val="6"/>
        </w:rPr>
        <w:t>Scenario 1</w:t>
      </w:r>
    </w:p>
    <w:p w:rsidR="005D068C" w:rsidRPr="00A14768" w:rsidRDefault="005D068C" w:rsidP="005D068C">
      <w:pPr>
        <w:tabs>
          <w:tab w:val="num" w:pos="720"/>
        </w:tabs>
        <w:rPr>
          <w:rFonts w:ascii="Century Schoolbook" w:hAnsi="Century Schoolbook" w:cs="Arial"/>
          <w:sz w:val="20"/>
          <w:szCs w:val="20"/>
        </w:rPr>
      </w:pPr>
      <w:r w:rsidRPr="00A14768">
        <w:rPr>
          <w:rFonts w:ascii="Century Schoolbook" w:hAnsi="Century Schoolbook" w:cs="Arial"/>
          <w:sz w:val="20"/>
          <w:szCs w:val="20"/>
        </w:rPr>
        <w:t>The Human Research Ethics Committee reviews and approves a protocol without any conditions at a full committee meeting on November 30, 2007.  Continuing review must occur within one year of the date of this meeting, i.e. by November 30, 2008.</w:t>
      </w:r>
    </w:p>
    <w:p w:rsidR="005D068C" w:rsidRPr="00A14768" w:rsidRDefault="005D068C" w:rsidP="005D068C">
      <w:pPr>
        <w:tabs>
          <w:tab w:val="num" w:pos="720"/>
        </w:tabs>
        <w:rPr>
          <w:rFonts w:ascii="Century Schoolbook" w:hAnsi="Century Schoolbook" w:cs="Arial"/>
          <w:sz w:val="8"/>
          <w:szCs w:val="8"/>
        </w:rPr>
      </w:pPr>
    </w:p>
    <w:p w:rsidR="005D068C" w:rsidRPr="00A14768" w:rsidRDefault="005D068C" w:rsidP="005D068C">
      <w:pPr>
        <w:tabs>
          <w:tab w:val="num" w:pos="720"/>
        </w:tabs>
        <w:rPr>
          <w:rFonts w:ascii="Berlin Sans FB" w:hAnsi="Berlin Sans FB" w:cs="Arial"/>
          <w:w w:val="90"/>
          <w:kern w:val="24"/>
          <w:position w:val="6"/>
        </w:rPr>
      </w:pPr>
      <w:r w:rsidRPr="00A14768">
        <w:rPr>
          <w:rFonts w:ascii="Berlin Sans FB" w:hAnsi="Berlin Sans FB" w:cs="Arial"/>
          <w:w w:val="90"/>
          <w:kern w:val="24"/>
          <w:position w:val="6"/>
        </w:rPr>
        <w:t>Scenario 2</w:t>
      </w:r>
    </w:p>
    <w:p w:rsidR="005D068C" w:rsidRPr="00A14768" w:rsidRDefault="005D068C" w:rsidP="005D068C">
      <w:pPr>
        <w:tabs>
          <w:tab w:val="num" w:pos="720"/>
        </w:tabs>
        <w:rPr>
          <w:rFonts w:ascii="Century Schoolbook" w:hAnsi="Century Schoolbook" w:cs="Arial"/>
          <w:sz w:val="20"/>
          <w:szCs w:val="20"/>
        </w:rPr>
      </w:pPr>
      <w:r w:rsidRPr="00A14768">
        <w:rPr>
          <w:rFonts w:ascii="Century Schoolbook" w:hAnsi="Century Schoolbook" w:cs="Arial"/>
          <w:sz w:val="20"/>
          <w:szCs w:val="20"/>
        </w:rPr>
        <w:t>The Human Research Ethics Committee reviews a protocol at a full committee meeting on November 30, 2007 and approves the protocol contingent on minor conditions the Chair or designee can verify. On February 1, 2008 the Chair or designee confirms that the required minor changes were made. Continuing review must occur within one year of the date of the convened Committee meeting at which the Committee reviewed and approved the protocol, that is, by November 30, 2008.</w:t>
      </w:r>
    </w:p>
    <w:p w:rsidR="005D068C" w:rsidRPr="00A14768" w:rsidRDefault="005D068C" w:rsidP="005D068C">
      <w:pPr>
        <w:tabs>
          <w:tab w:val="num" w:pos="720"/>
        </w:tabs>
        <w:rPr>
          <w:rFonts w:ascii="Century Schoolbook" w:hAnsi="Century Schoolbook" w:cs="Arial"/>
          <w:sz w:val="8"/>
          <w:szCs w:val="8"/>
        </w:rPr>
      </w:pPr>
    </w:p>
    <w:p w:rsidR="005D068C" w:rsidRPr="00A14768" w:rsidRDefault="005D068C" w:rsidP="005D068C">
      <w:pPr>
        <w:tabs>
          <w:tab w:val="num" w:pos="720"/>
        </w:tabs>
        <w:rPr>
          <w:rFonts w:ascii="Berlin Sans FB" w:hAnsi="Berlin Sans FB" w:cs="Arial"/>
          <w:w w:val="90"/>
          <w:kern w:val="24"/>
          <w:position w:val="6"/>
        </w:rPr>
      </w:pPr>
      <w:r w:rsidRPr="00A14768">
        <w:rPr>
          <w:rFonts w:ascii="Berlin Sans FB" w:hAnsi="Berlin Sans FB" w:cs="Arial"/>
          <w:w w:val="90"/>
          <w:kern w:val="24"/>
          <w:position w:val="6"/>
        </w:rPr>
        <w:t>Scenario 3</w:t>
      </w:r>
    </w:p>
    <w:p w:rsidR="005D068C" w:rsidRPr="00A14768" w:rsidRDefault="005D068C" w:rsidP="005D068C">
      <w:pPr>
        <w:tabs>
          <w:tab w:val="num" w:pos="720"/>
        </w:tabs>
        <w:rPr>
          <w:rFonts w:ascii="Century Schoolbook" w:hAnsi="Century Schoolbook" w:cs="Arial"/>
          <w:sz w:val="20"/>
          <w:szCs w:val="20"/>
        </w:rPr>
      </w:pPr>
      <w:r w:rsidRPr="00A14768">
        <w:rPr>
          <w:rFonts w:ascii="Century Schoolbook" w:hAnsi="Century Schoolbook" w:cs="Arial"/>
          <w:sz w:val="20"/>
          <w:szCs w:val="20"/>
        </w:rPr>
        <w:t>The Human Research Ethics Committee reviews a study at a full committee meeting on November 30, 2007, and has serious concerns or lacks significant information that require Committee review of the study at a subsequent convened meeting on January 31, 2008. At their January 31, 2008 meeting, the Committee completes its review and approves the study. Continuing review must occur within one year of the date of the convened meeting at which the Committee approved the protocol, that is, January 31, 2009.</w:t>
      </w:r>
    </w:p>
    <w:p w:rsidR="005D068C" w:rsidRPr="00A14768" w:rsidRDefault="005D068C" w:rsidP="005D068C">
      <w:pPr>
        <w:tabs>
          <w:tab w:val="num" w:pos="720"/>
        </w:tabs>
        <w:rPr>
          <w:rFonts w:ascii="Century Schoolbook" w:hAnsi="Century Schoolbook" w:cs="Arial"/>
          <w:sz w:val="8"/>
          <w:szCs w:val="8"/>
        </w:rPr>
      </w:pPr>
    </w:p>
    <w:p w:rsidR="005D068C" w:rsidRPr="00A14768" w:rsidRDefault="005D068C" w:rsidP="005D068C">
      <w:pPr>
        <w:tabs>
          <w:tab w:val="num" w:pos="720"/>
        </w:tabs>
        <w:rPr>
          <w:rFonts w:ascii="Century Schoolbook" w:hAnsi="Century Schoolbook" w:cs="Arial"/>
          <w:sz w:val="20"/>
          <w:szCs w:val="20"/>
        </w:rPr>
      </w:pPr>
      <w:r w:rsidRPr="00A14768">
        <w:rPr>
          <w:rFonts w:ascii="Century Schoolbook" w:hAnsi="Century Schoolbook" w:cs="Arial"/>
          <w:sz w:val="20"/>
          <w:szCs w:val="20"/>
        </w:rPr>
        <w:t>For a study approved under expedited review, continuing review must occur within one year of the date the Chair or designee gives final approval to the protocol.</w:t>
      </w:r>
    </w:p>
    <w:p w:rsidR="005D068C" w:rsidRPr="00A14768" w:rsidRDefault="005D068C" w:rsidP="005D068C">
      <w:pPr>
        <w:tabs>
          <w:tab w:val="num" w:pos="720"/>
        </w:tabs>
        <w:rPr>
          <w:rFonts w:ascii="Century Schoolbook" w:hAnsi="Century Schoolbook" w:cs="Arial"/>
          <w:sz w:val="8"/>
          <w:szCs w:val="8"/>
        </w:rPr>
      </w:pPr>
    </w:p>
    <w:p w:rsidR="005D068C" w:rsidRPr="00A14768" w:rsidRDefault="005D068C" w:rsidP="005D068C">
      <w:pPr>
        <w:tabs>
          <w:tab w:val="num" w:pos="720"/>
        </w:tabs>
        <w:rPr>
          <w:rFonts w:ascii="Century Schoolbook" w:hAnsi="Century Schoolbook" w:cs="Arial"/>
          <w:sz w:val="20"/>
          <w:szCs w:val="20"/>
        </w:rPr>
      </w:pPr>
      <w:r w:rsidRPr="00A14768">
        <w:rPr>
          <w:rFonts w:ascii="Century Schoolbook" w:hAnsi="Century Schoolbook" w:cs="Arial"/>
          <w:sz w:val="20"/>
          <w:szCs w:val="20"/>
        </w:rPr>
        <w:t>Review of amendments does not alter the date by which continuing review must occur because continuing review examines the full protocol, not simply a change to it.</w:t>
      </w:r>
    </w:p>
    <w:p w:rsidR="005D068C" w:rsidRPr="00A14768" w:rsidRDefault="005D068C" w:rsidP="005D068C">
      <w:pPr>
        <w:tabs>
          <w:tab w:val="num" w:pos="720"/>
        </w:tabs>
        <w:rPr>
          <w:rFonts w:ascii="Century Schoolbook" w:hAnsi="Century Schoolbook" w:cs="Arial"/>
          <w:sz w:val="8"/>
          <w:szCs w:val="8"/>
        </w:rPr>
      </w:pPr>
    </w:p>
    <w:p w:rsidR="005D068C" w:rsidRPr="00A14768" w:rsidRDefault="005D068C" w:rsidP="005D068C">
      <w:pPr>
        <w:tabs>
          <w:tab w:val="num" w:pos="720"/>
        </w:tabs>
        <w:rPr>
          <w:rFonts w:ascii="Century Schoolbook" w:hAnsi="Century Schoolbook" w:cs="Arial"/>
          <w:sz w:val="20"/>
          <w:szCs w:val="20"/>
        </w:rPr>
      </w:pPr>
      <w:r w:rsidRPr="00A14768">
        <w:rPr>
          <w:rFonts w:ascii="Century Schoolbook" w:hAnsi="Century Schoolbook" w:cs="Arial"/>
          <w:sz w:val="20"/>
          <w:szCs w:val="20"/>
        </w:rPr>
        <w:t>Ultimate responsibility rests with the principal investigator to monitor and track approval periods and to ensure continuing reports are filed in time for Human Research Ethics Committee review, in particular where review by full committee is needed.</w:t>
      </w:r>
    </w:p>
    <w:p w:rsidR="005D068C" w:rsidRPr="00A14768" w:rsidRDefault="005D068C" w:rsidP="005D068C">
      <w:pPr>
        <w:tabs>
          <w:tab w:val="num" w:pos="720"/>
        </w:tabs>
        <w:rPr>
          <w:rFonts w:ascii="Century Schoolbook" w:hAnsi="Century Schoolbook" w:cs="Arial"/>
          <w:sz w:val="8"/>
          <w:szCs w:val="8"/>
        </w:rPr>
      </w:pPr>
    </w:p>
    <w:p w:rsidR="005D068C" w:rsidRPr="00A14768" w:rsidRDefault="005D068C" w:rsidP="005D068C">
      <w:pPr>
        <w:tabs>
          <w:tab w:val="num" w:pos="720"/>
        </w:tabs>
        <w:rPr>
          <w:rFonts w:ascii="Century Schoolbook" w:hAnsi="Century Schoolbook" w:cs="Arial"/>
          <w:sz w:val="20"/>
          <w:szCs w:val="20"/>
        </w:rPr>
      </w:pPr>
      <w:r w:rsidRPr="00A14768">
        <w:rPr>
          <w:rFonts w:ascii="Century Schoolbook" w:hAnsi="Century Schoolbook" w:cs="Arial"/>
          <w:sz w:val="20"/>
          <w:szCs w:val="20"/>
        </w:rPr>
        <w:t xml:space="preserve">The </w:t>
      </w:r>
      <w:smartTag w:uri="urn:schemas-microsoft-com:office:smarttags" w:element="country-region">
        <w:smartTag w:uri="urn:schemas-microsoft-com:office:smarttags" w:element="place">
          <w:r w:rsidRPr="00A14768">
            <w:rPr>
              <w:rFonts w:ascii="Century Schoolbook" w:hAnsi="Century Schoolbook" w:cs="Arial"/>
              <w:sz w:val="20"/>
              <w:szCs w:val="20"/>
            </w:rPr>
            <w:t>US</w:t>
          </w:r>
        </w:smartTag>
      </w:smartTag>
      <w:r w:rsidRPr="00A14768">
        <w:rPr>
          <w:rFonts w:ascii="Century Schoolbook" w:hAnsi="Century Schoolbook" w:cs="Arial"/>
          <w:sz w:val="20"/>
          <w:szCs w:val="20"/>
        </w:rPr>
        <w:t xml:space="preserve"> federal regulations make no provision for a grace period extending the conduct of research beyond the expiry date of approval.  Therefore, continuing review and re-approval of research must occur on or before the date when approval expires. If an investigator fails to provide continuing review information to the Human Research Ethics Committee or the committee has not reviewed and approved a study by the specified continuing review date, the research must stop, unless the committee finds that it is in the best interests of individual participants to continue taking part in the research interventions or interactions. Enrolment of new participants, participant follow-up and data collection may not occur after a study has expired. When continuing review of a study does not occur prior to the end of the approval period specified by the Committee, the Committee’s approval expires automatically. Depending on its administrative capacity, the Human Research Ethics Committee will send a letter informing the principal investigator of the suspension but the responsibility rests with the researcher to suspend enrolment.</w:t>
      </w:r>
    </w:p>
    <w:p w:rsidR="005D068C" w:rsidRPr="00A14768" w:rsidRDefault="005D068C" w:rsidP="005D068C">
      <w:pPr>
        <w:tabs>
          <w:tab w:val="num" w:pos="720"/>
        </w:tabs>
        <w:rPr>
          <w:rFonts w:ascii="Century Schoolbook" w:hAnsi="Century Schoolbook" w:cs="Arial"/>
          <w:sz w:val="8"/>
          <w:szCs w:val="8"/>
        </w:rPr>
      </w:pPr>
    </w:p>
    <w:p w:rsidR="005D068C" w:rsidRPr="00A14768" w:rsidRDefault="005D068C" w:rsidP="005D068C">
      <w:pPr>
        <w:tabs>
          <w:tab w:val="num" w:pos="720"/>
        </w:tabs>
        <w:rPr>
          <w:rFonts w:ascii="Century Schoolbook" w:hAnsi="Century Schoolbook" w:cs="Arial"/>
          <w:sz w:val="20"/>
          <w:szCs w:val="20"/>
        </w:rPr>
      </w:pPr>
      <w:r w:rsidRPr="00A14768">
        <w:rPr>
          <w:rFonts w:ascii="Century Schoolbook" w:hAnsi="Century Schoolbook" w:cs="Arial"/>
          <w:sz w:val="20"/>
          <w:szCs w:val="20"/>
        </w:rPr>
        <w:t>Researchers who allow a lapse of an annual renewal or who fail to respond to feedback regarding a proposed amendment or adverse or unanticipated event, may be informed that their funding has been frozen, that other proposals will not be reviewed, or that they have triggered a higher  level of continuing review, such as an internal audit process.</w:t>
      </w:r>
    </w:p>
    <w:p w:rsidR="005D068C" w:rsidRPr="008B7553" w:rsidRDefault="005D068C" w:rsidP="005D068C">
      <w:pPr>
        <w:tabs>
          <w:tab w:val="num" w:pos="720"/>
        </w:tabs>
        <w:rPr>
          <w:rFonts w:ascii="Berlin Sans FB" w:hAnsi="Berlin Sans FB" w:cs="Arial"/>
          <w:spacing w:val="-20"/>
          <w:w w:val="80"/>
          <w:position w:val="6"/>
          <w:sz w:val="16"/>
          <w:szCs w:val="16"/>
        </w:rPr>
      </w:pPr>
    </w:p>
    <w:p w:rsidR="005D068C" w:rsidRPr="001E2240" w:rsidRDefault="005D068C" w:rsidP="005D068C">
      <w:pPr>
        <w:tabs>
          <w:tab w:val="num" w:pos="720"/>
        </w:tabs>
        <w:rPr>
          <w:rFonts w:ascii="Berlin Sans FB" w:hAnsi="Berlin Sans FB" w:cs="Arial"/>
          <w:spacing w:val="-20"/>
          <w:w w:val="80"/>
          <w:position w:val="6"/>
          <w:sz w:val="32"/>
          <w:szCs w:val="32"/>
        </w:rPr>
      </w:pPr>
      <w:r w:rsidRPr="001E2240">
        <w:rPr>
          <w:rFonts w:ascii="Berlin Sans FB" w:hAnsi="Berlin Sans FB" w:cs="Arial"/>
          <w:spacing w:val="-20"/>
          <w:w w:val="80"/>
          <w:position w:val="6"/>
          <w:sz w:val="32"/>
          <w:szCs w:val="32"/>
        </w:rPr>
        <w:t>Verification of No Material Changes since Prior Human Research Ethics Committee Review</w:t>
      </w:r>
    </w:p>
    <w:p w:rsidR="005D068C" w:rsidRPr="001E2240" w:rsidRDefault="005D068C" w:rsidP="005D068C">
      <w:pPr>
        <w:tabs>
          <w:tab w:val="num" w:pos="720"/>
        </w:tabs>
        <w:rPr>
          <w:rFonts w:ascii="Century Schoolbook" w:hAnsi="Century Schoolbook" w:cs="Arial"/>
          <w:sz w:val="20"/>
          <w:szCs w:val="20"/>
        </w:rPr>
      </w:pPr>
      <w:r w:rsidRPr="001E2240">
        <w:rPr>
          <w:rFonts w:ascii="Century Schoolbook" w:hAnsi="Century Schoolbook" w:cs="Arial"/>
          <w:sz w:val="20"/>
          <w:szCs w:val="20"/>
        </w:rPr>
        <w:t>The Human Research Ethics Committee or other agents designated by the Committee may determine at any point during the period of approval for a particular protocol that the protocol requires verification from sources other than the investigator that no material changes have occurred since prior Committee review.</w:t>
      </w:r>
    </w:p>
    <w:p w:rsidR="005D068C" w:rsidRPr="001E2240" w:rsidRDefault="005D068C" w:rsidP="005D068C">
      <w:pPr>
        <w:tabs>
          <w:tab w:val="num" w:pos="720"/>
        </w:tabs>
        <w:rPr>
          <w:rFonts w:ascii="Century Schoolbook" w:hAnsi="Century Schoolbook" w:cs="Arial"/>
          <w:sz w:val="8"/>
          <w:szCs w:val="8"/>
        </w:rPr>
      </w:pPr>
    </w:p>
    <w:p w:rsidR="005D068C" w:rsidRPr="001E2240" w:rsidRDefault="005D068C" w:rsidP="005D068C">
      <w:pPr>
        <w:tabs>
          <w:tab w:val="num" w:pos="720"/>
        </w:tabs>
        <w:rPr>
          <w:rFonts w:ascii="Century Schoolbook" w:hAnsi="Century Schoolbook" w:cs="Arial"/>
          <w:sz w:val="20"/>
          <w:szCs w:val="20"/>
        </w:rPr>
      </w:pPr>
      <w:r w:rsidRPr="001E2240">
        <w:rPr>
          <w:rFonts w:ascii="Century Schoolbook" w:hAnsi="Century Schoolbook" w:cs="Arial"/>
          <w:sz w:val="20"/>
          <w:szCs w:val="20"/>
        </w:rPr>
        <w:lastRenderedPageBreak/>
        <w:t>The nature of the study will determine from which source verification is to be requested.  The decision will be made on a case-by-case basis, using the following sources of verification:</w:t>
      </w:r>
    </w:p>
    <w:p w:rsidR="005D068C" w:rsidRPr="001E2240" w:rsidRDefault="005D068C" w:rsidP="005D068C">
      <w:pPr>
        <w:tabs>
          <w:tab w:val="num" w:pos="720"/>
        </w:tabs>
        <w:rPr>
          <w:rFonts w:ascii="Calisto MT" w:hAnsi="Calisto MT" w:cs="Arial"/>
          <w:sz w:val="2"/>
          <w:szCs w:val="2"/>
        </w:rPr>
      </w:pPr>
    </w:p>
    <w:p w:rsidR="005D068C" w:rsidRPr="001E2240" w:rsidRDefault="005D068C" w:rsidP="005D068C">
      <w:pPr>
        <w:numPr>
          <w:ilvl w:val="0"/>
          <w:numId w:val="38"/>
        </w:numPr>
        <w:rPr>
          <w:rFonts w:ascii="Century Schoolbook" w:hAnsi="Century Schoolbook" w:cs="Arial"/>
          <w:sz w:val="20"/>
          <w:szCs w:val="20"/>
        </w:rPr>
      </w:pPr>
      <w:r w:rsidRPr="001E2240">
        <w:rPr>
          <w:rFonts w:ascii="Century Schoolbook" w:hAnsi="Century Schoolbook" w:cs="Arial"/>
          <w:sz w:val="20"/>
          <w:szCs w:val="20"/>
        </w:rPr>
        <w:t>Pharmacy distribution records</w:t>
      </w:r>
    </w:p>
    <w:p w:rsidR="005D068C" w:rsidRPr="001E2240" w:rsidRDefault="005D068C" w:rsidP="005D068C">
      <w:pPr>
        <w:numPr>
          <w:ilvl w:val="0"/>
          <w:numId w:val="38"/>
        </w:numPr>
        <w:rPr>
          <w:rFonts w:ascii="Century Schoolbook" w:hAnsi="Century Schoolbook" w:cs="Arial"/>
          <w:sz w:val="20"/>
          <w:szCs w:val="20"/>
        </w:rPr>
      </w:pPr>
      <w:r w:rsidRPr="001E2240">
        <w:rPr>
          <w:rFonts w:ascii="Century Schoolbook" w:hAnsi="Century Schoolbook" w:cs="Arial"/>
          <w:sz w:val="20"/>
          <w:szCs w:val="20"/>
        </w:rPr>
        <w:t>Data Safety Monitoring Boards</w:t>
      </w:r>
    </w:p>
    <w:p w:rsidR="005D068C" w:rsidRPr="001E2240" w:rsidRDefault="005D068C" w:rsidP="005D068C">
      <w:pPr>
        <w:numPr>
          <w:ilvl w:val="0"/>
          <w:numId w:val="38"/>
        </w:numPr>
        <w:rPr>
          <w:rFonts w:ascii="Century Schoolbook" w:hAnsi="Century Schoolbook" w:cs="Arial"/>
          <w:sz w:val="20"/>
          <w:szCs w:val="20"/>
        </w:rPr>
      </w:pPr>
      <w:r w:rsidRPr="001E2240">
        <w:rPr>
          <w:rFonts w:ascii="Century Schoolbook" w:hAnsi="Century Schoolbook" w:cs="Arial"/>
          <w:sz w:val="20"/>
          <w:szCs w:val="20"/>
        </w:rPr>
        <w:t>Sponsors</w:t>
      </w:r>
    </w:p>
    <w:p w:rsidR="005D068C" w:rsidRPr="001E2240" w:rsidRDefault="005D068C" w:rsidP="005D068C">
      <w:pPr>
        <w:numPr>
          <w:ilvl w:val="0"/>
          <w:numId w:val="38"/>
        </w:numPr>
        <w:rPr>
          <w:rFonts w:ascii="Century Schoolbook" w:hAnsi="Century Schoolbook" w:cs="Arial"/>
          <w:sz w:val="20"/>
          <w:szCs w:val="20"/>
        </w:rPr>
      </w:pPr>
      <w:r w:rsidRPr="001E2240">
        <w:rPr>
          <w:rFonts w:ascii="Century Schoolbook" w:hAnsi="Century Schoolbook" w:cs="Arial"/>
          <w:sz w:val="20"/>
          <w:szCs w:val="20"/>
        </w:rPr>
        <w:t>Research participants’ records</w:t>
      </w:r>
    </w:p>
    <w:p w:rsidR="005D068C" w:rsidRPr="001E2240" w:rsidRDefault="005D068C" w:rsidP="005D068C">
      <w:pPr>
        <w:numPr>
          <w:ilvl w:val="0"/>
          <w:numId w:val="38"/>
        </w:numPr>
        <w:rPr>
          <w:rFonts w:ascii="Century Schoolbook" w:hAnsi="Century Schoolbook" w:cs="Arial"/>
          <w:sz w:val="20"/>
          <w:szCs w:val="20"/>
        </w:rPr>
      </w:pPr>
      <w:r w:rsidRPr="001E2240">
        <w:rPr>
          <w:rFonts w:ascii="Century Schoolbook" w:hAnsi="Century Schoolbook" w:cs="Arial"/>
          <w:sz w:val="20"/>
          <w:szCs w:val="20"/>
        </w:rPr>
        <w:t>Hospital medical records</w:t>
      </w:r>
    </w:p>
    <w:p w:rsidR="005D068C" w:rsidRPr="001E2240" w:rsidRDefault="005D068C" w:rsidP="005D068C">
      <w:pPr>
        <w:tabs>
          <w:tab w:val="num" w:pos="720"/>
        </w:tabs>
        <w:rPr>
          <w:rFonts w:ascii="Century Schoolbook" w:hAnsi="Century Schoolbook" w:cs="Arial"/>
          <w:sz w:val="8"/>
          <w:szCs w:val="8"/>
        </w:rPr>
      </w:pPr>
    </w:p>
    <w:p w:rsidR="005D068C" w:rsidRPr="001E2240" w:rsidRDefault="005D068C" w:rsidP="005D068C">
      <w:pPr>
        <w:tabs>
          <w:tab w:val="num" w:pos="720"/>
        </w:tabs>
        <w:rPr>
          <w:rFonts w:ascii="Century Schoolbook" w:hAnsi="Century Schoolbook" w:cs="Arial"/>
          <w:sz w:val="20"/>
          <w:szCs w:val="20"/>
        </w:rPr>
      </w:pPr>
      <w:r w:rsidRPr="001E2240">
        <w:rPr>
          <w:rFonts w:ascii="Century Schoolbook" w:hAnsi="Century Schoolbook" w:cs="Arial"/>
          <w:sz w:val="20"/>
          <w:szCs w:val="20"/>
        </w:rPr>
        <w:t>A request for verification that no material changes have occurred since prior Human Research Ethics Committee review may be made by, among others:</w:t>
      </w:r>
    </w:p>
    <w:p w:rsidR="005D068C" w:rsidRPr="001E2240" w:rsidRDefault="005D068C" w:rsidP="005D068C">
      <w:pPr>
        <w:tabs>
          <w:tab w:val="num" w:pos="720"/>
        </w:tabs>
        <w:rPr>
          <w:rFonts w:ascii="Calisto MT" w:hAnsi="Calisto MT" w:cs="Arial"/>
          <w:sz w:val="2"/>
          <w:szCs w:val="2"/>
        </w:rPr>
      </w:pPr>
    </w:p>
    <w:p w:rsidR="005D068C" w:rsidRPr="001E2240" w:rsidRDefault="005D068C" w:rsidP="005D068C">
      <w:pPr>
        <w:numPr>
          <w:ilvl w:val="0"/>
          <w:numId w:val="37"/>
        </w:numPr>
        <w:rPr>
          <w:rFonts w:ascii="Century Schoolbook" w:hAnsi="Century Schoolbook" w:cs="Arial"/>
          <w:sz w:val="20"/>
          <w:szCs w:val="20"/>
        </w:rPr>
      </w:pPr>
      <w:r w:rsidRPr="001E2240">
        <w:rPr>
          <w:rFonts w:ascii="Century Schoolbook" w:hAnsi="Century Schoolbook" w:cs="Arial"/>
          <w:sz w:val="20"/>
          <w:szCs w:val="20"/>
        </w:rPr>
        <w:t>The Human Research Ethics Committee based on information in the continuing review form.</w:t>
      </w:r>
    </w:p>
    <w:p w:rsidR="005D068C" w:rsidRPr="001E2240" w:rsidRDefault="005D068C" w:rsidP="005D068C">
      <w:pPr>
        <w:numPr>
          <w:ilvl w:val="0"/>
          <w:numId w:val="37"/>
        </w:numPr>
        <w:rPr>
          <w:rFonts w:ascii="Century Schoolbook" w:hAnsi="Century Schoolbook" w:cs="Arial"/>
          <w:sz w:val="20"/>
          <w:szCs w:val="20"/>
        </w:rPr>
      </w:pPr>
      <w:r w:rsidRPr="001E2240">
        <w:rPr>
          <w:rFonts w:ascii="Century Schoolbook" w:hAnsi="Century Schoolbook" w:cs="Arial"/>
          <w:sz w:val="20"/>
          <w:szCs w:val="20"/>
        </w:rPr>
        <w:t>A potential incident of non-compliance raises concern.</w:t>
      </w:r>
    </w:p>
    <w:p w:rsidR="005D068C" w:rsidRPr="001E2240" w:rsidRDefault="005D068C" w:rsidP="005D068C">
      <w:pPr>
        <w:numPr>
          <w:ilvl w:val="0"/>
          <w:numId w:val="37"/>
        </w:numPr>
        <w:rPr>
          <w:rFonts w:ascii="Century Schoolbook" w:hAnsi="Century Schoolbook" w:cs="Arial"/>
          <w:sz w:val="20"/>
          <w:szCs w:val="20"/>
        </w:rPr>
      </w:pPr>
      <w:r w:rsidRPr="001E2240">
        <w:rPr>
          <w:rFonts w:ascii="Century Schoolbook" w:hAnsi="Century Schoolbook" w:cs="Arial"/>
          <w:sz w:val="20"/>
          <w:szCs w:val="20"/>
        </w:rPr>
        <w:t>The Chair, a Committee member, the Committee’s administrative staff.</w:t>
      </w:r>
    </w:p>
    <w:p w:rsidR="005D068C" w:rsidRPr="001E2240" w:rsidRDefault="005D068C" w:rsidP="005D068C">
      <w:pPr>
        <w:numPr>
          <w:ilvl w:val="0"/>
          <w:numId w:val="37"/>
        </w:numPr>
        <w:rPr>
          <w:rFonts w:ascii="Century Schoolbook" w:hAnsi="Century Schoolbook" w:cs="Arial"/>
          <w:sz w:val="20"/>
          <w:szCs w:val="20"/>
        </w:rPr>
      </w:pPr>
      <w:r w:rsidRPr="001E2240">
        <w:rPr>
          <w:rFonts w:ascii="Century Schoolbook" w:hAnsi="Century Schoolbook" w:cs="Arial"/>
          <w:sz w:val="20"/>
          <w:szCs w:val="20"/>
        </w:rPr>
        <w:t>An investigative subcommittee or an independent audit team.</w:t>
      </w:r>
    </w:p>
    <w:p w:rsidR="005D068C" w:rsidRPr="001E2240" w:rsidRDefault="005D068C" w:rsidP="005D068C">
      <w:pPr>
        <w:rPr>
          <w:rFonts w:ascii="Century Schoolbook" w:hAnsi="Century Schoolbook" w:cs="Arial"/>
          <w:sz w:val="20"/>
          <w:szCs w:val="20"/>
        </w:rPr>
      </w:pPr>
    </w:p>
    <w:p w:rsidR="005D068C" w:rsidRPr="001E2240" w:rsidRDefault="005D068C" w:rsidP="005D068C">
      <w:pPr>
        <w:rPr>
          <w:rFonts w:ascii="Berlin Sans FB" w:hAnsi="Berlin Sans FB" w:cs="Arial"/>
          <w:w w:val="90"/>
          <w:kern w:val="32"/>
          <w:position w:val="6"/>
          <w:sz w:val="32"/>
          <w:szCs w:val="32"/>
        </w:rPr>
      </w:pPr>
      <w:r w:rsidRPr="001E2240">
        <w:rPr>
          <w:rFonts w:ascii="Berlin Sans FB" w:hAnsi="Berlin Sans FB" w:cs="Arial"/>
          <w:w w:val="90"/>
          <w:kern w:val="32"/>
          <w:position w:val="6"/>
          <w:sz w:val="32"/>
          <w:szCs w:val="32"/>
        </w:rPr>
        <w:t>Study Closure or Final Report</w:t>
      </w:r>
    </w:p>
    <w:p w:rsidR="005D068C" w:rsidRPr="003814FA" w:rsidRDefault="005D068C" w:rsidP="005D068C">
      <w:pPr>
        <w:rPr>
          <w:rFonts w:ascii="Century Schoolbook" w:hAnsi="Century Schoolbook" w:cs="Arial"/>
          <w:sz w:val="20"/>
          <w:szCs w:val="20"/>
        </w:rPr>
      </w:pPr>
      <w:r w:rsidRPr="003814FA">
        <w:rPr>
          <w:rFonts w:ascii="Century Schoolbook" w:hAnsi="Century Schoolbook" w:cs="Arial"/>
          <w:sz w:val="20"/>
          <w:szCs w:val="20"/>
        </w:rPr>
        <w:t xml:space="preserve">A study is considered active or ongoing until a study closure or final report is submitted to the Human Research Ethics Committee. This is also consistent with </w:t>
      </w:r>
      <w:proofErr w:type="spellStart"/>
      <w:r w:rsidRPr="003814FA">
        <w:rPr>
          <w:rFonts w:ascii="Century Schoolbook" w:hAnsi="Century Schoolbook" w:cs="Arial"/>
          <w:sz w:val="20"/>
          <w:szCs w:val="20"/>
        </w:rPr>
        <w:t>FDA</w:t>
      </w:r>
      <w:proofErr w:type="spellEnd"/>
      <w:r w:rsidRPr="003814FA">
        <w:rPr>
          <w:rFonts w:ascii="Century Schoolbook" w:hAnsi="Century Schoolbook" w:cs="Arial"/>
          <w:sz w:val="20"/>
          <w:szCs w:val="20"/>
        </w:rPr>
        <w:t xml:space="preserve"> regulations (21 </w:t>
      </w:r>
      <w:proofErr w:type="spellStart"/>
      <w:r w:rsidRPr="003814FA">
        <w:rPr>
          <w:rFonts w:ascii="Century Schoolbook" w:hAnsi="Century Schoolbook" w:cs="Arial"/>
          <w:sz w:val="20"/>
          <w:szCs w:val="20"/>
        </w:rPr>
        <w:t>CFR</w:t>
      </w:r>
      <w:proofErr w:type="spellEnd"/>
      <w:r w:rsidRPr="003814FA">
        <w:rPr>
          <w:rFonts w:ascii="Century Schoolbook" w:hAnsi="Century Schoolbook" w:cs="Arial"/>
          <w:sz w:val="20"/>
          <w:szCs w:val="20"/>
        </w:rPr>
        <w:t xml:space="preserve"> 56.108) which require prompt reporting to the Committee of any changes in research activity, and completing a study is considered a change in activity.</w:t>
      </w:r>
    </w:p>
    <w:p w:rsidR="005D068C" w:rsidRPr="003814FA" w:rsidRDefault="005D068C" w:rsidP="005D068C">
      <w:pPr>
        <w:rPr>
          <w:rFonts w:ascii="Century Schoolbook" w:hAnsi="Century Schoolbook" w:cs="Arial"/>
          <w:sz w:val="8"/>
          <w:szCs w:val="8"/>
        </w:rPr>
      </w:pPr>
    </w:p>
    <w:p w:rsidR="005D068C" w:rsidRPr="003814FA" w:rsidRDefault="005D068C" w:rsidP="005D068C">
      <w:pPr>
        <w:rPr>
          <w:rFonts w:ascii="Century Schoolbook" w:hAnsi="Century Schoolbook" w:cs="Arial"/>
          <w:sz w:val="20"/>
          <w:szCs w:val="20"/>
        </w:rPr>
      </w:pPr>
      <w:r w:rsidRPr="003814FA">
        <w:rPr>
          <w:rFonts w:ascii="Century Schoolbook" w:hAnsi="Century Schoolbook" w:cs="Arial"/>
          <w:sz w:val="20"/>
          <w:szCs w:val="20"/>
        </w:rPr>
        <w:t xml:space="preserve">The principal investigator can voluntarily close a study when completed and Human Research Ethics Committee approval is no longer required, when all participant accrual is completed and/or all data (including study follow-up data) pertaining to participants have been collected and when no further interaction with participants is planned for research purposes. In multi-centre commercial trials, the principal investigator must provide confirmation from the sponsor that all participants have completed their final visits and follow-up at the local site (i.e. </w:t>
      </w:r>
      <w:smartTag w:uri="urn:schemas-microsoft-com:office:smarttags" w:element="place">
        <w:smartTag w:uri="urn:schemas-microsoft-com:office:smarttags" w:element="PlaceType">
          <w:r w:rsidRPr="003814FA">
            <w:rPr>
              <w:rFonts w:ascii="Century Schoolbook" w:hAnsi="Century Schoolbook" w:cs="Arial"/>
              <w:sz w:val="20"/>
              <w:szCs w:val="20"/>
            </w:rPr>
            <w:t>University</w:t>
          </w:r>
        </w:smartTag>
        <w:r w:rsidRPr="003814FA">
          <w:rPr>
            <w:rFonts w:ascii="Century Schoolbook" w:hAnsi="Century Schoolbook" w:cs="Arial"/>
            <w:sz w:val="20"/>
            <w:szCs w:val="20"/>
          </w:rPr>
          <w:t xml:space="preserve"> of </w:t>
        </w:r>
        <w:smartTag w:uri="urn:schemas-microsoft-com:office:smarttags" w:element="PlaceName">
          <w:r w:rsidRPr="003814FA">
            <w:rPr>
              <w:rFonts w:ascii="Century Schoolbook" w:hAnsi="Century Schoolbook" w:cs="Arial"/>
              <w:sz w:val="20"/>
              <w:szCs w:val="20"/>
            </w:rPr>
            <w:t>Cape Town</w:t>
          </w:r>
        </w:smartTag>
      </w:smartTag>
      <w:r w:rsidRPr="003814FA">
        <w:rPr>
          <w:rFonts w:ascii="Century Schoolbook" w:hAnsi="Century Schoolbook" w:cs="Arial"/>
          <w:sz w:val="20"/>
          <w:szCs w:val="20"/>
        </w:rPr>
        <w:t>) is complete.</w:t>
      </w:r>
    </w:p>
    <w:p w:rsidR="005D068C" w:rsidRPr="003814FA" w:rsidRDefault="005D068C" w:rsidP="005D068C">
      <w:pPr>
        <w:rPr>
          <w:rFonts w:ascii="Century Schoolbook" w:hAnsi="Century Schoolbook" w:cs="Arial"/>
          <w:sz w:val="8"/>
          <w:szCs w:val="8"/>
        </w:rPr>
      </w:pPr>
    </w:p>
    <w:p w:rsidR="005D068C" w:rsidRPr="003814FA" w:rsidRDefault="005D068C" w:rsidP="005D068C">
      <w:pPr>
        <w:rPr>
          <w:rFonts w:ascii="Century Schoolbook" w:hAnsi="Century Schoolbook" w:cs="Arial"/>
          <w:sz w:val="20"/>
          <w:szCs w:val="20"/>
        </w:rPr>
      </w:pPr>
      <w:r w:rsidRPr="003814FA">
        <w:rPr>
          <w:rFonts w:ascii="Century Schoolbook" w:hAnsi="Century Schoolbook" w:cs="Arial"/>
          <w:sz w:val="20"/>
          <w:szCs w:val="20"/>
        </w:rPr>
        <w:t>To formally close a study, the principal investigator must submit a final report specific to that study. Final reports will be reviewed and approved by an expedited process. The principal investigator will be sent written notification of the study’s closure. If a study is not closed but is allowed to expire as a lapse in approval, an administrative suspension letter may be sent to the principal investigator.</w:t>
      </w:r>
    </w:p>
    <w:p w:rsidR="005D068C" w:rsidRPr="003814FA" w:rsidRDefault="005D068C" w:rsidP="005D068C">
      <w:pPr>
        <w:rPr>
          <w:rFonts w:ascii="Century Schoolbook" w:hAnsi="Century Schoolbook" w:cs="Arial"/>
          <w:sz w:val="8"/>
          <w:szCs w:val="8"/>
        </w:rPr>
      </w:pPr>
    </w:p>
    <w:p w:rsidR="005D068C" w:rsidRPr="003814FA" w:rsidRDefault="005D068C" w:rsidP="005D068C">
      <w:pPr>
        <w:rPr>
          <w:rFonts w:ascii="Century Schoolbook" w:hAnsi="Century Schoolbook" w:cs="Arial"/>
          <w:sz w:val="20"/>
          <w:szCs w:val="20"/>
        </w:rPr>
      </w:pPr>
      <w:r w:rsidRPr="003814FA">
        <w:rPr>
          <w:rFonts w:ascii="Century Schoolbook" w:hAnsi="Century Schoolbook" w:cs="Arial"/>
          <w:sz w:val="20"/>
          <w:szCs w:val="20"/>
        </w:rPr>
        <w:t>If a principal investigator terminates employment with the University, he or she must submit a final report to the Human Research Ethics Committee or transfer the protocol to another principal investigator via an amendment which requires Committee approval.  If the principal investigator is unwilling or unable to provide such an amendment, the Committee may choose to administratively close the study.</w:t>
      </w:r>
    </w:p>
    <w:p w:rsidR="005D068C" w:rsidRDefault="005D068C" w:rsidP="005D068C">
      <w:pPr>
        <w:rPr>
          <w:rFonts w:ascii="Calisto MT" w:hAnsi="Calisto MT" w:cs="Arial"/>
        </w:rPr>
      </w:pPr>
    </w:p>
    <w:p w:rsidR="005D068C" w:rsidRPr="003814FA" w:rsidRDefault="005D068C" w:rsidP="005D068C">
      <w:pPr>
        <w:rPr>
          <w:rFonts w:ascii="Berlin Sans FB" w:hAnsi="Berlin Sans FB" w:cs="Arial"/>
          <w:w w:val="90"/>
          <w:kern w:val="32"/>
          <w:position w:val="6"/>
          <w:sz w:val="32"/>
          <w:szCs w:val="32"/>
        </w:rPr>
      </w:pPr>
      <w:r w:rsidRPr="003814FA">
        <w:rPr>
          <w:rFonts w:ascii="Berlin Sans FB" w:hAnsi="Berlin Sans FB" w:cs="Arial"/>
          <w:w w:val="90"/>
          <w:kern w:val="32"/>
          <w:position w:val="6"/>
          <w:sz w:val="32"/>
          <w:szCs w:val="32"/>
        </w:rPr>
        <w:t xml:space="preserve">References </w:t>
      </w:r>
    </w:p>
    <w:p w:rsidR="005D068C" w:rsidRPr="003814FA" w:rsidRDefault="005D068C" w:rsidP="005D068C">
      <w:pPr>
        <w:numPr>
          <w:ilvl w:val="0"/>
          <w:numId w:val="39"/>
        </w:numPr>
        <w:rPr>
          <w:rFonts w:ascii="Century Schoolbook" w:hAnsi="Century Schoolbook" w:cs="Arial"/>
          <w:sz w:val="20"/>
          <w:szCs w:val="20"/>
        </w:rPr>
      </w:pPr>
      <w:r w:rsidRPr="003814FA">
        <w:rPr>
          <w:rFonts w:ascii="Century Schoolbook" w:hAnsi="Century Schoolbook" w:cs="Arial"/>
          <w:sz w:val="20"/>
          <w:szCs w:val="20"/>
        </w:rPr>
        <w:t xml:space="preserve">Department of Health: Ethics in Health Research: Principles, Structures and Processes, 2004 </w:t>
      </w:r>
      <w:hyperlink r:id="rId7" w:history="1">
        <w:r w:rsidRPr="003814FA">
          <w:rPr>
            <w:rStyle w:val="Hyperlink"/>
            <w:rFonts w:ascii="Century Schoolbook" w:hAnsi="Century Schoolbook" w:cs="Arial"/>
            <w:sz w:val="20"/>
            <w:szCs w:val="20"/>
          </w:rPr>
          <w:t>http://www.doh.gov.za/docs/factsheets/guidelines/ethnics/</w:t>
        </w:r>
      </w:hyperlink>
    </w:p>
    <w:p w:rsidR="006E0F43" w:rsidRPr="00B2756E" w:rsidRDefault="005D068C" w:rsidP="00B2756E">
      <w:pPr>
        <w:numPr>
          <w:ilvl w:val="0"/>
          <w:numId w:val="39"/>
        </w:numPr>
      </w:pPr>
      <w:r w:rsidRPr="00614441">
        <w:rPr>
          <w:rFonts w:ascii="Century Schoolbook" w:hAnsi="Century Schoolbook" w:cs="Arial"/>
          <w:sz w:val="20"/>
          <w:szCs w:val="20"/>
        </w:rPr>
        <w:t>Office of Human Research Protections (</w:t>
      </w:r>
      <w:proofErr w:type="spellStart"/>
      <w:r w:rsidRPr="00614441">
        <w:rPr>
          <w:rFonts w:ascii="Century Schoolbook" w:hAnsi="Century Schoolbook" w:cs="Arial"/>
          <w:sz w:val="20"/>
          <w:szCs w:val="20"/>
        </w:rPr>
        <w:t>OHRP</w:t>
      </w:r>
      <w:proofErr w:type="spellEnd"/>
      <w:r w:rsidRPr="00614441">
        <w:rPr>
          <w:rFonts w:ascii="Century Schoolbook" w:hAnsi="Century Schoolbook" w:cs="Arial"/>
          <w:sz w:val="20"/>
          <w:szCs w:val="20"/>
        </w:rPr>
        <w:t xml:space="preserve">). Guidance on Continuing Review. January 15, 2007. </w:t>
      </w:r>
      <w:hyperlink r:id="rId8" w:history="1">
        <w:r w:rsidRPr="00614441">
          <w:rPr>
            <w:rStyle w:val="Hyperlink"/>
            <w:rFonts w:ascii="Century Schoolbook" w:hAnsi="Century Schoolbook" w:cs="Arial"/>
            <w:sz w:val="20"/>
            <w:szCs w:val="20"/>
          </w:rPr>
          <w:t>http://www.hhs.gov/ohrp/humansubjects/guidance/contrev0107.pdf</w:t>
        </w:r>
      </w:hyperlink>
      <w:r w:rsidR="00614441">
        <w:t xml:space="preserve"> </w:t>
      </w:r>
    </w:p>
    <w:sectPr w:rsidR="006E0F43" w:rsidRPr="00B2756E" w:rsidSect="006E0F43">
      <w:headerReference w:type="default"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BF5" w:rsidRDefault="00EC4BF5" w:rsidP="00AE10BF">
      <w:r>
        <w:separator/>
      </w:r>
    </w:p>
  </w:endnote>
  <w:endnote w:type="continuationSeparator" w:id="0">
    <w:p w:rsidR="00EC4BF5" w:rsidRDefault="00EC4BF5" w:rsidP="00AE10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5BA" w:rsidRDefault="009B05BA">
    <w:pPr>
      <w:pStyle w:val="Footer"/>
      <w:pBdr>
        <w:top w:val="thinThickSmallGap" w:sz="24" w:space="1" w:color="622423" w:themeColor="accent2" w:themeShade="7F"/>
      </w:pBdr>
      <w:rPr>
        <w:rFonts w:asciiTheme="majorHAnsi" w:hAnsiTheme="majorHAnsi"/>
      </w:rPr>
    </w:pPr>
    <w:r>
      <w:rPr>
        <w:rFonts w:asciiTheme="majorHAnsi" w:hAnsiTheme="majorHAnsi"/>
      </w:rPr>
      <w:t>Last Revised October 2009</w:t>
    </w:r>
    <w:r>
      <w:rPr>
        <w:rFonts w:asciiTheme="majorHAnsi" w:hAnsiTheme="majorHAnsi"/>
      </w:rPr>
      <w:ptab w:relativeTo="margin" w:alignment="right" w:leader="none"/>
    </w:r>
    <w:r>
      <w:rPr>
        <w:rFonts w:asciiTheme="majorHAnsi" w:hAnsiTheme="majorHAnsi"/>
      </w:rPr>
      <w:t xml:space="preserve">Page </w:t>
    </w:r>
    <w:fldSimple w:instr=" PAGE   \* MERGEFORMAT ">
      <w:r w:rsidRPr="009B05BA">
        <w:rPr>
          <w:rFonts w:asciiTheme="majorHAnsi" w:hAnsiTheme="majorHAnsi"/>
          <w:noProof/>
        </w:rPr>
        <w:t>1</w:t>
      </w:r>
    </w:fldSimple>
  </w:p>
  <w:p w:rsidR="00AE10BF" w:rsidRDefault="00AE10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0BF" w:rsidRDefault="00AE10BF">
    <w:pPr>
      <w:pStyle w:val="Footer"/>
    </w:pPr>
    <w:r>
      <w:t>Last Revised October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BF5" w:rsidRDefault="00EC4BF5" w:rsidP="00AE10BF">
      <w:r>
        <w:separator/>
      </w:r>
    </w:p>
  </w:footnote>
  <w:footnote w:type="continuationSeparator" w:id="0">
    <w:p w:rsidR="00EC4BF5" w:rsidRDefault="00EC4BF5" w:rsidP="00AE10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0BF" w:rsidRDefault="00AE10BF" w:rsidP="00AE10BF">
    <w:pPr>
      <w:pStyle w:val="Header"/>
      <w:jc w:val="center"/>
      <w:rPr>
        <w:rFonts w:ascii="Berlin Sans FB" w:hAnsi="Berlin Sans FB"/>
        <w:sz w:val="16"/>
        <w:szCs w:val="16"/>
      </w:rPr>
    </w:pPr>
    <w:r>
      <w:rPr>
        <w:rFonts w:ascii="Berlin Sans FB" w:hAnsi="Berlin Sans FB"/>
        <w:sz w:val="16"/>
        <w:szCs w:val="16"/>
      </w:rPr>
      <w:t>Human Research Ethics Committee: Composition and Documentation of Activities</w:t>
    </w:r>
  </w:p>
  <w:p w:rsidR="00AE10BF" w:rsidRDefault="00AE10BF" w:rsidP="00AE10BF">
    <w:pPr>
      <w:pStyle w:val="Header"/>
      <w:jc w:val="center"/>
      <w:rPr>
        <w:rFonts w:ascii="Berlin Sans FB" w:hAnsi="Berlin Sans FB"/>
        <w:sz w:val="16"/>
        <w:szCs w:val="16"/>
      </w:rPr>
    </w:pPr>
    <w:r>
      <w:rPr>
        <w:rFonts w:ascii="Berlin Sans FB" w:hAnsi="Berlin Sans FB"/>
        <w:sz w:val="16"/>
        <w:szCs w:val="16"/>
      </w:rPr>
      <w:t>Standard Operating Procedures</w:t>
    </w:r>
  </w:p>
  <w:p w:rsidR="00AE10BF" w:rsidRDefault="00AE10BF" w:rsidP="00AE10BF">
    <w:pPr>
      <w:pStyle w:val="Header"/>
      <w:jc w:val="center"/>
    </w:pPr>
    <w:r>
      <w:rPr>
        <w:rFonts w:ascii="Berlin Sans FB" w:hAnsi="Berlin Sans FB"/>
        <w:w w:val="90"/>
        <w:sz w:val="16"/>
        <w:szCs w:val="16"/>
      </w:rPr>
      <w:t>Human Research Ethics Committee, Faculty of Health Sciences, University of Cape Town</w:t>
    </w:r>
  </w:p>
  <w:p w:rsidR="00AE10BF" w:rsidRDefault="00AE10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0BF" w:rsidRDefault="00AE10BF" w:rsidP="00AE10BF">
    <w:pPr>
      <w:pStyle w:val="Header"/>
      <w:jc w:val="center"/>
      <w:rPr>
        <w:rFonts w:ascii="Berlin Sans FB" w:hAnsi="Berlin Sans FB"/>
        <w:sz w:val="16"/>
        <w:szCs w:val="16"/>
      </w:rPr>
    </w:pPr>
    <w:r>
      <w:rPr>
        <w:rFonts w:ascii="Berlin Sans FB" w:hAnsi="Berlin Sans FB"/>
        <w:sz w:val="16"/>
        <w:szCs w:val="16"/>
      </w:rPr>
      <w:t>Human Research Ethics Committee: Composition and Documentation of Activities</w:t>
    </w:r>
  </w:p>
  <w:p w:rsidR="00AE10BF" w:rsidRDefault="00AE10BF" w:rsidP="00AE10BF">
    <w:pPr>
      <w:pStyle w:val="Header"/>
      <w:jc w:val="center"/>
      <w:rPr>
        <w:rFonts w:ascii="Berlin Sans FB" w:hAnsi="Berlin Sans FB"/>
        <w:sz w:val="16"/>
        <w:szCs w:val="16"/>
      </w:rPr>
    </w:pPr>
    <w:r>
      <w:rPr>
        <w:rFonts w:ascii="Berlin Sans FB" w:hAnsi="Berlin Sans FB"/>
        <w:sz w:val="16"/>
        <w:szCs w:val="16"/>
      </w:rPr>
      <w:t>Standard Operating Procedures</w:t>
    </w:r>
  </w:p>
  <w:p w:rsidR="00AE10BF" w:rsidRDefault="00AE10BF" w:rsidP="00AE10BF">
    <w:pPr>
      <w:pStyle w:val="Header"/>
      <w:jc w:val="center"/>
    </w:pPr>
    <w:r>
      <w:rPr>
        <w:rFonts w:ascii="Berlin Sans FB" w:hAnsi="Berlin Sans FB"/>
        <w:w w:val="90"/>
        <w:sz w:val="16"/>
        <w:szCs w:val="16"/>
      </w:rPr>
      <w:t>Human Research Ethics Committee, Faculty of Health Sciences, University of Cape Town</w:t>
    </w:r>
  </w:p>
  <w:p w:rsidR="00AE10BF" w:rsidRDefault="00AE10BF">
    <w:pPr>
      <w:pStyle w:val="Header"/>
    </w:pPr>
  </w:p>
  <w:p w:rsidR="00AE10BF" w:rsidRDefault="00AE10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FBC"/>
    <w:multiLevelType w:val="hybridMultilevel"/>
    <w:tmpl w:val="97DC3C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04E97B89"/>
    <w:multiLevelType w:val="hybridMultilevel"/>
    <w:tmpl w:val="8746EF40"/>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04F7347F"/>
    <w:multiLevelType w:val="hybridMultilevel"/>
    <w:tmpl w:val="7A521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5071E14"/>
    <w:multiLevelType w:val="hybridMultilevel"/>
    <w:tmpl w:val="43F219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6C01A0B"/>
    <w:multiLevelType w:val="hybridMultilevel"/>
    <w:tmpl w:val="7AE65E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74B718F"/>
    <w:multiLevelType w:val="hybridMultilevel"/>
    <w:tmpl w:val="8AA455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13B949C8"/>
    <w:multiLevelType w:val="hybridMultilevel"/>
    <w:tmpl w:val="A4C807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55A49C5"/>
    <w:multiLevelType w:val="hybridMultilevel"/>
    <w:tmpl w:val="9E98B7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6916D14"/>
    <w:multiLevelType w:val="hybridMultilevel"/>
    <w:tmpl w:val="EEA823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D742846"/>
    <w:multiLevelType w:val="hybridMultilevel"/>
    <w:tmpl w:val="870EAE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DA91EB5"/>
    <w:multiLevelType w:val="hybridMultilevel"/>
    <w:tmpl w:val="895866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1E6070ED"/>
    <w:multiLevelType w:val="hybridMultilevel"/>
    <w:tmpl w:val="E3CE0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F4854F2"/>
    <w:multiLevelType w:val="hybridMultilevel"/>
    <w:tmpl w:val="256E675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26930ACD"/>
    <w:multiLevelType w:val="hybridMultilevel"/>
    <w:tmpl w:val="28F00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E957B7"/>
    <w:multiLevelType w:val="hybridMultilevel"/>
    <w:tmpl w:val="8CAAE4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CAB5FE4"/>
    <w:multiLevelType w:val="hybridMultilevel"/>
    <w:tmpl w:val="CCD25154"/>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CE45E72"/>
    <w:multiLevelType w:val="hybridMultilevel"/>
    <w:tmpl w:val="713681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497EAB"/>
    <w:multiLevelType w:val="hybridMultilevel"/>
    <w:tmpl w:val="806E5A78"/>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0211098"/>
    <w:multiLevelType w:val="hybridMultilevel"/>
    <w:tmpl w:val="B4C0DA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12E6D46"/>
    <w:multiLevelType w:val="hybridMultilevel"/>
    <w:tmpl w:val="AA2A8A7A"/>
    <w:lvl w:ilvl="0" w:tplc="713A612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nsid w:val="33603928"/>
    <w:multiLevelType w:val="hybridMultilevel"/>
    <w:tmpl w:val="F94202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5A65D10"/>
    <w:multiLevelType w:val="hybridMultilevel"/>
    <w:tmpl w:val="15EE95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7E22058"/>
    <w:multiLevelType w:val="hybridMultilevel"/>
    <w:tmpl w:val="79C4E076"/>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39663B0E"/>
    <w:multiLevelType w:val="hybridMultilevel"/>
    <w:tmpl w:val="67B2B2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EAC158D"/>
    <w:multiLevelType w:val="hybridMultilevel"/>
    <w:tmpl w:val="EAA6A2F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ED10A80"/>
    <w:multiLevelType w:val="hybridMultilevel"/>
    <w:tmpl w:val="26F2823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40B0ED0"/>
    <w:multiLevelType w:val="hybridMultilevel"/>
    <w:tmpl w:val="C29EE2B4"/>
    <w:lvl w:ilvl="0" w:tplc="0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E3336C0"/>
    <w:multiLevelType w:val="hybridMultilevel"/>
    <w:tmpl w:val="4DA41BAC"/>
    <w:lvl w:ilvl="0" w:tplc="08090003">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4E8A579E"/>
    <w:multiLevelType w:val="hybridMultilevel"/>
    <w:tmpl w:val="2BBC3C18"/>
    <w:lvl w:ilvl="0" w:tplc="08090003">
      <w:start w:val="1"/>
      <w:numFmt w:val="bullet"/>
      <w:lvlText w:val="o"/>
      <w:lvlJc w:val="left"/>
      <w:pPr>
        <w:tabs>
          <w:tab w:val="num" w:pos="1080"/>
        </w:tabs>
        <w:ind w:left="1080" w:hanging="360"/>
      </w:pPr>
      <w:rPr>
        <w:rFonts w:ascii="Courier New" w:hAnsi="Courier New" w:cs="Courier New" w:hint="default"/>
      </w:rPr>
    </w:lvl>
    <w:lvl w:ilvl="1" w:tplc="0809000F">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nsid w:val="52AE1EF8"/>
    <w:multiLevelType w:val="hybridMultilevel"/>
    <w:tmpl w:val="9A461474"/>
    <w:lvl w:ilvl="0" w:tplc="04090001">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96D74DF"/>
    <w:multiLevelType w:val="hybridMultilevel"/>
    <w:tmpl w:val="C87821AC"/>
    <w:lvl w:ilvl="0" w:tplc="08090001">
      <w:start w:val="1"/>
      <w:numFmt w:val="bullet"/>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nsid w:val="5C6550E1"/>
    <w:multiLevelType w:val="hybridMultilevel"/>
    <w:tmpl w:val="1060809E"/>
    <w:lvl w:ilvl="0" w:tplc="04090003">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EF52880"/>
    <w:multiLevelType w:val="hybridMultilevel"/>
    <w:tmpl w:val="03E859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61096B8A"/>
    <w:multiLevelType w:val="hybridMultilevel"/>
    <w:tmpl w:val="9AA07EE8"/>
    <w:lvl w:ilvl="0" w:tplc="08090003">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nsid w:val="62436DBD"/>
    <w:multiLevelType w:val="hybridMultilevel"/>
    <w:tmpl w:val="8B0239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26621E2"/>
    <w:multiLevelType w:val="hybridMultilevel"/>
    <w:tmpl w:val="328C8C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48F0AB7"/>
    <w:multiLevelType w:val="hybridMultilevel"/>
    <w:tmpl w:val="6332058A"/>
    <w:lvl w:ilvl="0" w:tplc="08090003">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nsid w:val="696A6197"/>
    <w:multiLevelType w:val="hybridMultilevel"/>
    <w:tmpl w:val="896677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nsid w:val="6BC06A9D"/>
    <w:multiLevelType w:val="hybridMultilevel"/>
    <w:tmpl w:val="98F69920"/>
    <w:lvl w:ilvl="0" w:tplc="04090003">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nsid w:val="776535A8"/>
    <w:multiLevelType w:val="hybridMultilevel"/>
    <w:tmpl w:val="72127BA8"/>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F5D580E"/>
    <w:multiLevelType w:val="hybridMultilevel"/>
    <w:tmpl w:val="B79211A4"/>
    <w:lvl w:ilvl="0" w:tplc="08090001">
      <w:start w:val="1"/>
      <w:numFmt w:val="bullet"/>
      <w:lvlText w:val=""/>
      <w:lvlJc w:val="left"/>
      <w:pPr>
        <w:tabs>
          <w:tab w:val="num" w:pos="1080"/>
        </w:tabs>
        <w:ind w:left="1080" w:hanging="360"/>
      </w:pPr>
      <w:rPr>
        <w:rFonts w:ascii="Symbol" w:hAnsi="Symbol" w:hint="default"/>
      </w:rPr>
    </w:lvl>
    <w:lvl w:ilvl="1" w:tplc="0809000F">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5"/>
  </w:num>
  <w:num w:numId="3">
    <w:abstractNumId w:val="8"/>
  </w:num>
  <w:num w:numId="4">
    <w:abstractNumId w:val="0"/>
  </w:num>
  <w:num w:numId="5">
    <w:abstractNumId w:val="36"/>
  </w:num>
  <w:num w:numId="6">
    <w:abstractNumId w:val="23"/>
  </w:num>
  <w:num w:numId="7">
    <w:abstractNumId w:val="11"/>
  </w:num>
  <w:num w:numId="8">
    <w:abstractNumId w:val="2"/>
  </w:num>
  <w:num w:numId="9">
    <w:abstractNumId w:val="40"/>
  </w:num>
  <w:num w:numId="10">
    <w:abstractNumId w:val="34"/>
  </w:num>
  <w:num w:numId="11">
    <w:abstractNumId w:val="27"/>
  </w:num>
  <w:num w:numId="12">
    <w:abstractNumId w:val="26"/>
  </w:num>
  <w:num w:numId="13">
    <w:abstractNumId w:val="17"/>
  </w:num>
  <w:num w:numId="14">
    <w:abstractNumId w:val="31"/>
  </w:num>
  <w:num w:numId="15">
    <w:abstractNumId w:val="29"/>
  </w:num>
  <w:num w:numId="16">
    <w:abstractNumId w:val="25"/>
  </w:num>
  <w:num w:numId="17">
    <w:abstractNumId w:val="14"/>
  </w:num>
  <w:num w:numId="18">
    <w:abstractNumId w:val="3"/>
  </w:num>
  <w:num w:numId="19">
    <w:abstractNumId w:val="33"/>
  </w:num>
  <w:num w:numId="20">
    <w:abstractNumId w:val="18"/>
  </w:num>
  <w:num w:numId="21">
    <w:abstractNumId w:val="37"/>
  </w:num>
  <w:num w:numId="22">
    <w:abstractNumId w:val="12"/>
  </w:num>
  <w:num w:numId="23">
    <w:abstractNumId w:val="10"/>
  </w:num>
  <w:num w:numId="24">
    <w:abstractNumId w:val="22"/>
  </w:num>
  <w:num w:numId="25">
    <w:abstractNumId w:val="1"/>
  </w:num>
  <w:num w:numId="26">
    <w:abstractNumId w:val="13"/>
  </w:num>
  <w:num w:numId="27">
    <w:abstractNumId w:val="15"/>
  </w:num>
  <w:num w:numId="28">
    <w:abstractNumId w:val="21"/>
  </w:num>
  <w:num w:numId="29">
    <w:abstractNumId w:val="24"/>
  </w:num>
  <w:num w:numId="30">
    <w:abstractNumId w:val="28"/>
  </w:num>
  <w:num w:numId="31">
    <w:abstractNumId w:val="30"/>
  </w:num>
  <w:num w:numId="32">
    <w:abstractNumId w:val="20"/>
  </w:num>
  <w:num w:numId="33">
    <w:abstractNumId w:val="6"/>
  </w:num>
  <w:num w:numId="34">
    <w:abstractNumId w:val="9"/>
  </w:num>
  <w:num w:numId="35">
    <w:abstractNumId w:val="7"/>
  </w:num>
  <w:num w:numId="36">
    <w:abstractNumId w:val="32"/>
  </w:num>
  <w:num w:numId="37">
    <w:abstractNumId w:val="16"/>
  </w:num>
  <w:num w:numId="38">
    <w:abstractNumId w:val="38"/>
  </w:num>
  <w:num w:numId="39">
    <w:abstractNumId w:val="19"/>
  </w:num>
  <w:num w:numId="40">
    <w:abstractNumId w:val="5"/>
  </w:num>
  <w:num w:numId="4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E225A"/>
    <w:rsid w:val="000A3C00"/>
    <w:rsid w:val="00192715"/>
    <w:rsid w:val="001E225A"/>
    <w:rsid w:val="001E6166"/>
    <w:rsid w:val="005D068C"/>
    <w:rsid w:val="00614441"/>
    <w:rsid w:val="006E0F43"/>
    <w:rsid w:val="008C2ED5"/>
    <w:rsid w:val="009B05BA"/>
    <w:rsid w:val="00AA0BEE"/>
    <w:rsid w:val="00AE10BF"/>
    <w:rsid w:val="00B2756E"/>
    <w:rsid w:val="00CC16C4"/>
    <w:rsid w:val="00E16F2D"/>
    <w:rsid w:val="00E47DCE"/>
    <w:rsid w:val="00EC4BF5"/>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DCE"/>
    <w:pPr>
      <w:spacing w:after="0" w:line="240" w:lineRule="auto"/>
    </w:pPr>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7DCE"/>
    <w:rPr>
      <w:color w:val="0000FF"/>
      <w:u w:val="single"/>
    </w:rPr>
  </w:style>
  <w:style w:type="paragraph" w:styleId="Header">
    <w:name w:val="header"/>
    <w:basedOn w:val="Normal"/>
    <w:link w:val="HeaderChar"/>
    <w:unhideWhenUsed/>
    <w:rsid w:val="00AE10BF"/>
    <w:pPr>
      <w:tabs>
        <w:tab w:val="center" w:pos="4513"/>
        <w:tab w:val="right" w:pos="9026"/>
      </w:tabs>
    </w:pPr>
  </w:style>
  <w:style w:type="character" w:customStyle="1" w:styleId="HeaderChar">
    <w:name w:val="Header Char"/>
    <w:basedOn w:val="DefaultParagraphFont"/>
    <w:link w:val="Header"/>
    <w:rsid w:val="00AE10BF"/>
    <w:rPr>
      <w:rFonts w:ascii="Times New Roman" w:eastAsia="Times New Roman" w:hAnsi="Times New Roman" w:cs="Times New Roman"/>
      <w:sz w:val="24"/>
      <w:szCs w:val="24"/>
      <w:lang w:eastAsia="en-ZA"/>
    </w:rPr>
  </w:style>
  <w:style w:type="paragraph" w:styleId="Footer">
    <w:name w:val="footer"/>
    <w:basedOn w:val="Normal"/>
    <w:link w:val="FooterChar"/>
    <w:uiPriority w:val="99"/>
    <w:unhideWhenUsed/>
    <w:rsid w:val="00AE10BF"/>
    <w:pPr>
      <w:tabs>
        <w:tab w:val="center" w:pos="4513"/>
        <w:tab w:val="right" w:pos="9026"/>
      </w:tabs>
    </w:pPr>
  </w:style>
  <w:style w:type="character" w:customStyle="1" w:styleId="FooterChar">
    <w:name w:val="Footer Char"/>
    <w:basedOn w:val="DefaultParagraphFont"/>
    <w:link w:val="Footer"/>
    <w:uiPriority w:val="99"/>
    <w:rsid w:val="00AE10BF"/>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AE10BF"/>
    <w:rPr>
      <w:rFonts w:ascii="Tahoma" w:hAnsi="Tahoma" w:cs="Tahoma"/>
      <w:sz w:val="16"/>
      <w:szCs w:val="16"/>
    </w:rPr>
  </w:style>
  <w:style w:type="character" w:customStyle="1" w:styleId="BalloonTextChar">
    <w:name w:val="Balloon Text Char"/>
    <w:basedOn w:val="DefaultParagraphFont"/>
    <w:link w:val="BalloonText"/>
    <w:uiPriority w:val="99"/>
    <w:semiHidden/>
    <w:rsid w:val="00AE10BF"/>
    <w:rPr>
      <w:rFonts w:ascii="Tahoma" w:eastAsia="Times New Roman" w:hAnsi="Tahoma" w:cs="Tahoma"/>
      <w:sz w:val="16"/>
      <w:szCs w:val="16"/>
      <w:lang w:eastAsia="en-ZA"/>
    </w:rPr>
  </w:style>
</w:styles>
</file>

<file path=word/webSettings.xml><?xml version="1.0" encoding="utf-8"?>
<w:webSettings xmlns:r="http://schemas.openxmlformats.org/officeDocument/2006/relationships" xmlns:w="http://schemas.openxmlformats.org/wordprocessingml/2006/main">
  <w:divs>
    <w:div w:id="251593752">
      <w:bodyDiv w:val="1"/>
      <w:marLeft w:val="0"/>
      <w:marRight w:val="0"/>
      <w:marTop w:val="0"/>
      <w:marBottom w:val="0"/>
      <w:divBdr>
        <w:top w:val="none" w:sz="0" w:space="0" w:color="auto"/>
        <w:left w:val="none" w:sz="0" w:space="0" w:color="auto"/>
        <w:bottom w:val="none" w:sz="0" w:space="0" w:color="auto"/>
        <w:right w:val="none" w:sz="0" w:space="0" w:color="auto"/>
      </w:divBdr>
    </w:div>
    <w:div w:id="108534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hs.gov/ohrp/humansubjects/guidance/contrev0107.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h.gov.za/docs/factsheets/guidelines/ethnic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2618</Words>
  <Characters>14928</Characters>
  <Application>Microsoft Office Word</Application>
  <DocSecurity>0</DocSecurity>
  <Lines>124</Lines>
  <Paragraphs>35</Paragraphs>
  <ScaleCrop>false</ScaleCrop>
  <Company>University of Cape Town</Company>
  <LinksUpToDate>false</LinksUpToDate>
  <CharactersWithSpaces>17511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Win User</dc:creator>
  <cp:keywords/>
  <dc:description/>
  <cp:lastModifiedBy>New Win User</cp:lastModifiedBy>
  <cp:revision>5</cp:revision>
  <dcterms:created xsi:type="dcterms:W3CDTF">2011-03-08T13:26:00Z</dcterms:created>
  <dcterms:modified xsi:type="dcterms:W3CDTF">2011-03-10T10:16:00Z</dcterms:modified>
</cp:coreProperties>
</file>